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37" w:rsidRPr="003C0037" w:rsidRDefault="003C0037" w:rsidP="003C00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C0037">
        <w:rPr>
          <w:position w:val="-9"/>
          <w:sz w:val="123"/>
        </w:rPr>
        <w:t>L</w:t>
      </w:r>
    </w:p>
    <w:p w:rsidR="00520233" w:rsidRDefault="003C0037" w:rsidP="00E70A9B">
      <w:r>
        <w:t xml:space="preserve">a gran mayoría de las declaraciones aprobadas por </w:t>
      </w:r>
      <w:r w:rsidR="005F583B">
        <w:t>IASB</w:t>
      </w:r>
      <w:r>
        <w:t xml:space="preserve">, durante los años 2014 y 2015, lo fueron por unanimidad. Aunque </w:t>
      </w:r>
      <w:r w:rsidR="00545BCC">
        <w:t>pocas, ya es hora de estudiar la</w:t>
      </w:r>
      <w:bookmarkStart w:id="0" w:name="_GoBack"/>
      <w:bookmarkEnd w:id="0"/>
      <w:r>
        <w:t>s manifestaciones en contrario que</w:t>
      </w:r>
      <w:r w:rsidR="005F583B">
        <w:t xml:space="preserve"> se produjeron en ciertos casos.</w:t>
      </w:r>
    </w:p>
    <w:p w:rsidR="005F583B" w:rsidRPr="006F3400" w:rsidRDefault="005F583B" w:rsidP="00E70A9B">
      <w:r>
        <w:t xml:space="preserve">Según el </w:t>
      </w:r>
      <w:hyperlink r:id="rId9" w:history="1">
        <w:r w:rsidRPr="006F3400">
          <w:rPr>
            <w:rStyle w:val="Hyperlink"/>
          </w:rPr>
          <w:t>debido proceso</w:t>
        </w:r>
      </w:hyperlink>
      <w:r>
        <w:t xml:space="preserve">, las decisiones del organismo se toman en sesiones públicas, que pueden ser escuchadas por quienes hayan sido autorizados para estar en el lugar de deliberaciones, o por quienes tomen la señal que se emite por Internet. </w:t>
      </w:r>
      <w:r w:rsidR="00565B54" w:rsidRPr="00565B54">
        <w:t xml:space="preserve">Los documentos públicos son precedidos de un proceso denominado </w:t>
      </w:r>
      <w:proofErr w:type="spellStart"/>
      <w:r w:rsidR="00565B54" w:rsidRPr="00565B54">
        <w:t>balloting</w:t>
      </w:r>
      <w:proofErr w:type="spellEnd"/>
      <w:r w:rsidR="00565B54" w:rsidRPr="00565B54">
        <w:t xml:space="preserve">: “(…) </w:t>
      </w:r>
      <w:r w:rsidR="00565B54" w:rsidRPr="00565B54">
        <w:rPr>
          <w:lang w:val="en-US"/>
        </w:rPr>
        <w:t xml:space="preserve">Balloting is the formal process by which IASB members assent to the publication of a document, as listed in the table at paragraph 3.14 above, or the members of the Interpretations Committee assent to the </w:t>
      </w:r>
      <w:proofErr w:type="spellStart"/>
      <w:r w:rsidR="00565B54" w:rsidRPr="00565B54">
        <w:rPr>
          <w:lang w:val="en-US"/>
        </w:rPr>
        <w:t>finalisation</w:t>
      </w:r>
      <w:proofErr w:type="spellEnd"/>
      <w:r w:rsidR="00565B54" w:rsidRPr="00565B54">
        <w:rPr>
          <w:lang w:val="en-US"/>
        </w:rPr>
        <w:t xml:space="preserve"> of an Interpretation, before it is sent to the IASB for ratification. Balloting takes place outside of meetings.</w:t>
      </w:r>
      <w:r w:rsidR="00565B54">
        <w:rPr>
          <w:lang w:val="en-US"/>
        </w:rPr>
        <w:t xml:space="preserve"> (…)” “(…) </w:t>
      </w:r>
      <w:proofErr w:type="gramStart"/>
      <w:r w:rsidR="00565B54" w:rsidRPr="00565B54">
        <w:rPr>
          <w:i/>
          <w:lang w:val="en-US"/>
        </w:rPr>
        <w:t>Any</w:t>
      </w:r>
      <w:proofErr w:type="gramEnd"/>
      <w:r w:rsidR="00565B54" w:rsidRPr="00565B54">
        <w:rPr>
          <w:i/>
          <w:lang w:val="en-US"/>
        </w:rPr>
        <w:t xml:space="preserve"> dissenting opinions are incorporated into the pre-ballot and ballot drafts for the other IASB members to see before balloting.</w:t>
      </w:r>
      <w:r w:rsidR="00565B54">
        <w:rPr>
          <w:lang w:val="en-US"/>
        </w:rPr>
        <w:t xml:space="preserve"> </w:t>
      </w:r>
      <w:r w:rsidR="00565B54" w:rsidRPr="006F3400">
        <w:t>(…)”.</w:t>
      </w:r>
    </w:p>
    <w:p w:rsidR="00565B54" w:rsidRDefault="006F3400" w:rsidP="006F3400">
      <w:r w:rsidRPr="006F3400">
        <w:t>En septiembre de 2014 se publicó</w:t>
      </w:r>
      <w:r>
        <w:t xml:space="preserve"> la N</w:t>
      </w:r>
      <w:r w:rsidRPr="006F3400">
        <w:t xml:space="preserve">orma internacional de información financiera </w:t>
      </w:r>
      <w:r>
        <w:t xml:space="preserve">Venta o Aportación de Activos entre un Inversor y su Asociada o Negocio Conjunto </w:t>
      </w:r>
      <w:proofErr w:type="gramStart"/>
      <w:r>
        <w:t>―(</w:t>
      </w:r>
      <w:proofErr w:type="gramEnd"/>
      <w:r>
        <w:t xml:space="preserve">Modificaciones a la NIIF 10 y la NIC 28), en la cual se lee: “(…) </w:t>
      </w:r>
      <w:r w:rsidRPr="006F3400">
        <w:rPr>
          <w:i/>
        </w:rPr>
        <w:t xml:space="preserve">Venta o Aportación de Activos entre un Inversor y su Asociada o Negocio Conjunto (Modificaciones a la NIIF 10 y NIC 28) es publicada por el Consejo de Normas Internacionales de Contabilidad (IASB). El Sr. </w:t>
      </w:r>
      <w:proofErr w:type="spellStart"/>
      <w:r w:rsidRPr="006F3400">
        <w:rPr>
          <w:i/>
        </w:rPr>
        <w:t>Kabureck</w:t>
      </w:r>
      <w:proofErr w:type="spellEnd"/>
      <w:r w:rsidRPr="006F3400">
        <w:rPr>
          <w:i/>
        </w:rPr>
        <w:t xml:space="preserve">, la Sra. Lloyd y el Sr. </w:t>
      </w:r>
      <w:proofErr w:type="spellStart"/>
      <w:r w:rsidRPr="006F3400">
        <w:rPr>
          <w:i/>
        </w:rPr>
        <w:t>Ochi</w:t>
      </w:r>
      <w:proofErr w:type="spellEnd"/>
      <w:r w:rsidRPr="006F3400">
        <w:rPr>
          <w:i/>
        </w:rPr>
        <w:t xml:space="preserve"> opinaron en contra</w:t>
      </w:r>
      <w:r w:rsidRPr="00CA2D76">
        <w:rPr>
          <w:i/>
          <w:vertAlign w:val="superscript"/>
        </w:rPr>
        <w:t>1</w:t>
      </w:r>
      <w:r w:rsidRPr="006F3400">
        <w:rPr>
          <w:i/>
        </w:rPr>
        <w:t xml:space="preserve"> de la publicación de las modificaciones a la NIIF 10 y la NIC 28. </w:t>
      </w:r>
      <w:r w:rsidRPr="006F3400">
        <w:rPr>
          <w:i/>
        </w:rPr>
        <w:lastRenderedPageBreak/>
        <w:t>Sus opiniones en contrario se han publicado tras los Fundamentos de las Conclusiones.</w:t>
      </w:r>
      <w:r>
        <w:t xml:space="preserve"> (…)”. </w:t>
      </w:r>
      <w:r w:rsidR="009E375B">
        <w:t xml:space="preserve">A título de ilustración, leamos lo que sostuvo uno de los consejeros. </w:t>
      </w:r>
      <w:r>
        <w:t xml:space="preserve">El </w:t>
      </w:r>
      <w:r w:rsidRPr="006F3400">
        <w:t xml:space="preserve"> Sr. </w:t>
      </w:r>
      <w:proofErr w:type="spellStart"/>
      <w:r w:rsidRPr="006F3400">
        <w:t>Kabureck</w:t>
      </w:r>
      <w:proofErr w:type="spellEnd"/>
      <w:r>
        <w:t xml:space="preserve"> “(…) </w:t>
      </w:r>
      <w:r w:rsidRPr="006F3400">
        <w:rPr>
          <w:i/>
        </w:rPr>
        <w:t xml:space="preserve">está de acuerdo en que el control de un negocio puede perderse independientemente de si la adquirente es una parte relacionada o no relacionada. Sin embargo, considera que la contabilización de la ganancia o pérdida debe ser diferente si la venta o aportación es a una participada que se contabiliza utilizando el método de la participación. El Sr. </w:t>
      </w:r>
      <w:proofErr w:type="spellStart"/>
      <w:r w:rsidRPr="006F3400">
        <w:rPr>
          <w:i/>
        </w:rPr>
        <w:t>Kabureck</w:t>
      </w:r>
      <w:proofErr w:type="spellEnd"/>
      <w:r w:rsidRPr="006F3400">
        <w:rPr>
          <w:i/>
        </w:rPr>
        <w:t xml:space="preserve"> hace notar que la participación del inversor en la ganancia o pérdida afectará al final a la ganancia o pérdida futura de la participada reconocida en el resultado del periodo del inversor.</w:t>
      </w:r>
      <w:r>
        <w:t xml:space="preserve"> (…)”. Obviamente hay que analizar todos los </w:t>
      </w:r>
      <w:hyperlink r:id="rId10" w:history="1">
        <w:r w:rsidRPr="00CA2D76">
          <w:rPr>
            <w:rStyle w:val="Hyperlink"/>
          </w:rPr>
          <w:t>antecedentes</w:t>
        </w:r>
      </w:hyperlink>
      <w:r>
        <w:t xml:space="preserve"> antes de pronunciarse sobre la salvedad puesta de ejemplo. Al hacerlo se </w:t>
      </w:r>
      <w:r w:rsidR="00CA2D76">
        <w:t xml:space="preserve">perfeccionará el criterio científico y técnico </w:t>
      </w:r>
      <w:r w:rsidR="00036D31">
        <w:t>y se aprenderá como piensa IASB.</w:t>
      </w:r>
    </w:p>
    <w:p w:rsidR="00CA2D76" w:rsidRDefault="00CA2D76" w:rsidP="006F3400">
      <w:r>
        <w:t>En Colombia el Gobierno ha decretado varias excepciones</w:t>
      </w:r>
      <w:r w:rsidR="00036D31">
        <w:t xml:space="preserve"> al incorporar las normas internacionales de información financiera</w:t>
      </w:r>
      <w:r>
        <w:t>, que también reclaman examen. Este puede ser más complejo porque en la expedición de una norma jurídica obran factores que no están presentes en el diseño de un estándar internacional.</w:t>
      </w:r>
      <w:r w:rsidR="001D03A4">
        <w:t xml:space="preserve"> </w:t>
      </w:r>
      <w:r w:rsidR="001D03A4" w:rsidRPr="001D03A4">
        <w:t>El estudio de los antecedentes en Colombia tiene dificultades, puesto que el Gobierno aún no llega a los niveles de trasparencia de los organismos internacionales.</w:t>
      </w:r>
      <w:r w:rsidR="0078051F">
        <w:t xml:space="preserve"> </w:t>
      </w:r>
      <w:r w:rsidR="00B01972">
        <w:t>Se requiere tener fuerza intelectual para ser parte de las minorías. Sobre todo cuando el disenso debe ser argumentado.</w:t>
      </w:r>
      <w:r w:rsidR="00DD33B8">
        <w:t xml:space="preserve"> </w:t>
      </w:r>
    </w:p>
    <w:p w:rsidR="001D03A4" w:rsidRPr="001D03A4" w:rsidRDefault="001D03A4" w:rsidP="001D03A4">
      <w:pPr>
        <w:jc w:val="right"/>
        <w:rPr>
          <w:i/>
        </w:rPr>
      </w:pPr>
      <w:r w:rsidRPr="001D03A4">
        <w:rPr>
          <w:i/>
        </w:rPr>
        <w:t>Hernando Bermúdez Gómez</w:t>
      </w:r>
    </w:p>
    <w:sectPr w:rsidR="001D03A4" w:rsidRPr="001D03A4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B0" w:rsidRDefault="00565EB0" w:rsidP="00EE7812">
      <w:pPr>
        <w:spacing w:after="0" w:line="240" w:lineRule="auto"/>
      </w:pPr>
      <w:r>
        <w:separator/>
      </w:r>
    </w:p>
  </w:endnote>
  <w:endnote w:type="continuationSeparator" w:id="0">
    <w:p w:rsidR="00565EB0" w:rsidRDefault="00565E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36" w:rsidRDefault="00391C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36" w:rsidRDefault="00391C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B0" w:rsidRDefault="00565EB0" w:rsidP="00EE7812">
      <w:pPr>
        <w:spacing w:after="0" w:line="240" w:lineRule="auto"/>
      </w:pPr>
      <w:r>
        <w:separator/>
      </w:r>
    </w:p>
  </w:footnote>
  <w:footnote w:type="continuationSeparator" w:id="0">
    <w:p w:rsidR="00565EB0" w:rsidRDefault="00565E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36" w:rsidRDefault="00391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391C36">
      <w:t>788</w:t>
    </w:r>
    <w:r w:rsidR="00CE47C3">
      <w:t xml:space="preserve">, </w:t>
    </w:r>
    <w:r w:rsidR="00374F39">
      <w:t>enero</w:t>
    </w:r>
    <w:r w:rsidR="001D1161">
      <w:t xml:space="preserve"> 11</w:t>
    </w:r>
    <w:r w:rsidR="00374F39">
      <w:t xml:space="preserve"> de 2016</w:t>
    </w:r>
  </w:p>
  <w:p w:rsidR="00331924" w:rsidRDefault="00565EB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36" w:rsidRDefault="00391C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98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233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5BCC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B0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968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3C9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3F2B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frs.org/Current-Projects/IASB-Projects/IFRS-10-IAS-28/Pages/Accounting-sale-contribution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DPOC/Documents/2013/Due_Process_Handbook_Resupply_28_Feb_2013_WEBSIT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0F29F-E728-42A0-9465-03C16C16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2015-11-17T13:48:00Z</cp:lastPrinted>
  <dcterms:created xsi:type="dcterms:W3CDTF">2016-01-11T17:04:00Z</dcterms:created>
  <dcterms:modified xsi:type="dcterms:W3CDTF">2016-01-11T19:11:00Z</dcterms:modified>
</cp:coreProperties>
</file>