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15" w:rsidRPr="008B7615" w:rsidRDefault="008B7615" w:rsidP="008B761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8B7615">
        <w:rPr>
          <w:position w:val="-8"/>
          <w:sz w:val="122"/>
        </w:rPr>
        <w:t>A</w:t>
      </w:r>
    </w:p>
    <w:p w:rsidR="008D4D2E" w:rsidRDefault="008B7615" w:rsidP="000F454F">
      <w:r>
        <w:t xml:space="preserve">tendiendo una petición expresa del Gobierno, la </w:t>
      </w:r>
      <w:hyperlink r:id="rId9" w:history="1">
        <w:r w:rsidRPr="00D109F4">
          <w:rPr>
            <w:rStyle w:val="Hyperlink"/>
          </w:rPr>
          <w:t>Comisión de expertos para la equidad y competitividad tributaria</w:t>
        </w:r>
      </w:hyperlink>
      <w:r>
        <w:rPr>
          <w:rStyle w:val="Hyperlink"/>
        </w:rPr>
        <w:t xml:space="preserve"> </w:t>
      </w:r>
      <w:r w:rsidRPr="008B7615">
        <w:t xml:space="preserve">hizo reflexiones más </w:t>
      </w:r>
      <w:r>
        <w:t>profundas respecto de las entidades sin ánimo de lucro.</w:t>
      </w:r>
      <w:r w:rsidR="005146F4">
        <w:t xml:space="preserve"> </w:t>
      </w:r>
    </w:p>
    <w:p w:rsidR="002A7DA9" w:rsidRDefault="002A7DA9" w:rsidP="000F454F">
      <w:r>
        <w:t>Es lamentable que la Comisión no se haya ocupado de distinguir las entidades de beneficencia.</w:t>
      </w:r>
      <w:r w:rsidR="005769BC">
        <w:t xml:space="preserve"> Estas requieren de un gran estímulo</w:t>
      </w:r>
      <w:r w:rsidR="00BD524B">
        <w:t>,</w:t>
      </w:r>
      <w:r w:rsidR="005769BC">
        <w:t xml:space="preserve"> en razón de su compromiso con necesidades sociales que el Gobierno </w:t>
      </w:r>
      <w:r w:rsidR="00BD524B">
        <w:t>no</w:t>
      </w:r>
      <w:r w:rsidR="005769BC">
        <w:t xml:space="preserve"> puede atender debidamente.</w:t>
      </w:r>
      <w:r w:rsidR="00447B27">
        <w:t xml:space="preserve"> Su particular forma de actuar, pedir regalado para regalar, ha justificado una legislación propia en varios países, incluyendo un ordenamiento contable ajustado a su naturaleza.</w:t>
      </w:r>
    </w:p>
    <w:p w:rsidR="00082B3D" w:rsidRDefault="00DD339A" w:rsidP="000F454F">
      <w:r>
        <w:t xml:space="preserve">De tiempo atrás, nuestra legislación sometió a las </w:t>
      </w:r>
      <w:proofErr w:type="spellStart"/>
      <w:r>
        <w:t>Esal</w:t>
      </w:r>
      <w:proofErr w:type="spellEnd"/>
      <w:r>
        <w:t xml:space="preserve"> a las mismas reglas de contabilidad aplicables a los comerciantes.</w:t>
      </w:r>
      <w:r w:rsidR="00D22C5A">
        <w:t xml:space="preserve"> Ahora el Gobierno decidió que para los efectos del nuevo sistema contable, no tenga relevancia tener o no tener ánimo de lucro. Nosotros hemos anotado que las normas expedidas por IASB están orientadas a satisfacer las necesidades del mercado de capitales (valores y créditos), en el cual rara vez participan muchas </w:t>
      </w:r>
      <w:proofErr w:type="spellStart"/>
      <w:r w:rsidR="00D22C5A">
        <w:t>Esal</w:t>
      </w:r>
      <w:proofErr w:type="spellEnd"/>
      <w:r w:rsidR="00D22C5A">
        <w:t>.</w:t>
      </w:r>
    </w:p>
    <w:p w:rsidR="005A49EA" w:rsidRDefault="009E658F" w:rsidP="000F454F">
      <w:r>
        <w:t xml:space="preserve">La Comisión pretende que la contabilidad de las </w:t>
      </w:r>
      <w:proofErr w:type="spellStart"/>
      <w:r>
        <w:t>Esal</w:t>
      </w:r>
      <w:proofErr w:type="spellEnd"/>
      <w:r>
        <w:t xml:space="preserve"> sea u</w:t>
      </w:r>
      <w:r w:rsidR="007652F0">
        <w:t>n instrumento eficaz de control tributario.</w:t>
      </w:r>
      <w:r w:rsidR="00ED51D4">
        <w:t xml:space="preserve"> Ciertamente la contabilidad puede servir a ese propósito, pero hay que advertir que la contabilidad financiera no se diseña con esa finalidad.</w:t>
      </w:r>
    </w:p>
    <w:p w:rsidR="004C1ACB" w:rsidRDefault="004C1ACB" w:rsidP="00A82F00">
      <w:r>
        <w:t xml:space="preserve">Entre las peculiaridades de la contabilidad de las </w:t>
      </w:r>
      <w:proofErr w:type="spellStart"/>
      <w:r>
        <w:t>Esal</w:t>
      </w:r>
      <w:proofErr w:type="spellEnd"/>
      <w:r>
        <w:t xml:space="preserve"> se encuentra la exigencia de demostrar cómo se invierten los excedentes de cada ejercicio.</w:t>
      </w:r>
      <w:r w:rsidR="008608DC">
        <w:t xml:space="preserve"> Los criterios usuales de clasificación, la naturaleza de los hechos y la </w:t>
      </w:r>
      <w:r w:rsidR="008608DC">
        <w:lastRenderedPageBreak/>
        <w:t>actividad de la cual forman parte, se ve</w:t>
      </w:r>
      <w:r w:rsidR="00132C47">
        <w:t>n adicionados</w:t>
      </w:r>
      <w:r w:rsidR="008608DC">
        <w:t xml:space="preserve"> por la exigencia de dar cuenta de los manejos de una suma, es decir, de un fondo.</w:t>
      </w:r>
      <w:r w:rsidR="00A82F00">
        <w:t xml:space="preserve"> La contabilidad por fondos, menciona</w:t>
      </w:r>
      <w:r w:rsidR="00B0420D">
        <w:t>da</w:t>
      </w:r>
      <w:r w:rsidR="00A82F00">
        <w:t xml:space="preserve"> en su </w:t>
      </w:r>
      <w:hyperlink r:id="rId10" w:history="1">
        <w:r w:rsidR="00A82F00" w:rsidRPr="00B0420D">
          <w:rPr>
            <w:rStyle w:val="Hyperlink"/>
          </w:rPr>
          <w:t xml:space="preserve">Orientación Técnica </w:t>
        </w:r>
        <w:r w:rsidR="00B0420D" w:rsidRPr="00B0420D">
          <w:rPr>
            <w:rStyle w:val="Hyperlink"/>
          </w:rPr>
          <w:t>14</w:t>
        </w:r>
      </w:hyperlink>
      <w:r w:rsidR="00B0420D">
        <w:t xml:space="preserve"> </w:t>
      </w:r>
      <w:r w:rsidR="00A82F00">
        <w:t xml:space="preserve">por el CTCP, es un sistema apropiado para estas exigencias. También lo es para otras cuestiones parecidas. Según la propuesta de la Comisión “(…) </w:t>
      </w:r>
      <w:r w:rsidR="00A82F00" w:rsidRPr="00A82F00">
        <w:rPr>
          <w:i/>
        </w:rPr>
        <w:t>Para efectos fiscales, las ESAL deberán identificar de manera separada en su contabilidad y en los EEFFF: a) los costos de proyectos, costos y gastos de las actividades de venta de bienes o servicios o de actividades realizadas en función del objeto social de la entidad y b) los gastos administrativos, para su verificación por la administración tributaria, todo lo cual, deberá certificarse por el Revisor Fiscal o contador. Las donaciones realizadas a otras ESAL calificadas dentro del RTE, los gastos por depreciación y amortización y los intereses pagados a terceros no se consideran, para estos efectos, gastos administrativos.</w:t>
      </w:r>
      <w:r w:rsidR="00A82F00">
        <w:t xml:space="preserve"> (…)”</w:t>
      </w:r>
      <w:r w:rsidR="001B0598">
        <w:t>.</w:t>
      </w:r>
    </w:p>
    <w:p w:rsidR="007D100E" w:rsidRDefault="007D100E" w:rsidP="007D100E">
      <w:r>
        <w:t xml:space="preserve">La propuesta de la Comisión señala que “(…) </w:t>
      </w:r>
      <w:r w:rsidRPr="007D100E">
        <w:rPr>
          <w:i/>
        </w:rPr>
        <w:t>La información de las declaraciones deberá estar debidamente soportada en su contabilidad, conforme lo exigen las normas tributarias.</w:t>
      </w:r>
      <w:r>
        <w:t xml:space="preserve"> (…)”. Esto no será posi</w:t>
      </w:r>
      <w:r w:rsidR="00EF2E15">
        <w:t>ble si la contabilidad que lleve</w:t>
      </w:r>
      <w:r>
        <w:t xml:space="preserve">n las </w:t>
      </w:r>
      <w:proofErr w:type="spellStart"/>
      <w:r>
        <w:t>Esal</w:t>
      </w:r>
      <w:proofErr w:type="spellEnd"/>
      <w:r>
        <w:t xml:space="preserve"> </w:t>
      </w:r>
      <w:r w:rsidR="007D1075">
        <w:t>fuere</w:t>
      </w:r>
      <w:r>
        <w:t xml:space="preserve"> financiera.</w:t>
      </w:r>
      <w:r w:rsidR="00FD4A59">
        <w:t xml:space="preserve"> Se requiere de una contabilidad tributaria para ello, razón por la cual el párrafo 2 del artículo 4 de la </w:t>
      </w:r>
      <w:hyperlink r:id="rId11" w:history="1">
        <w:r w:rsidR="00FD4A59" w:rsidRPr="00EF2E15">
          <w:rPr>
            <w:rStyle w:val="Hyperlink"/>
          </w:rPr>
          <w:t>Ley 1314 de 2009</w:t>
        </w:r>
      </w:hyperlink>
      <w:r w:rsidR="00FD4A59">
        <w:t xml:space="preserve"> indicó: “(…)</w:t>
      </w:r>
      <w:r w:rsidR="00EF2E15">
        <w:t xml:space="preserve"> </w:t>
      </w:r>
      <w:r w:rsidR="00FD4A59" w:rsidRPr="00EF2E15">
        <w:rPr>
          <w:i/>
        </w:rPr>
        <w:t>Las d</w:t>
      </w:r>
      <w:r w:rsidR="00EF2E15" w:rsidRPr="00EF2E15">
        <w:rPr>
          <w:i/>
        </w:rPr>
        <w:t>eclaraciones tributarias y sus soportes deberán se</w:t>
      </w:r>
      <w:r w:rsidR="00FD4A59" w:rsidRPr="00EF2E15">
        <w:rPr>
          <w:i/>
        </w:rPr>
        <w:t>r preparados según lo determina la legislación fiscal.</w:t>
      </w:r>
      <w:r w:rsidR="00EF2E15">
        <w:t xml:space="preserve"> (…)”.</w:t>
      </w:r>
    </w:p>
    <w:p w:rsidR="00EF2E15" w:rsidRPr="00EF2E15" w:rsidRDefault="00EF2E15" w:rsidP="00EF2E15">
      <w:pPr>
        <w:jc w:val="right"/>
        <w:rPr>
          <w:i/>
        </w:rPr>
      </w:pPr>
      <w:r w:rsidRPr="00EF2E15">
        <w:rPr>
          <w:i/>
        </w:rPr>
        <w:t>Hernando Bermúdez Gómez</w:t>
      </w:r>
    </w:p>
    <w:sectPr w:rsidR="00EF2E15" w:rsidRPr="00EF2E15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74" w:rsidRDefault="00042574" w:rsidP="00EE7812">
      <w:pPr>
        <w:spacing w:after="0" w:line="240" w:lineRule="auto"/>
      </w:pPr>
      <w:r>
        <w:separator/>
      </w:r>
    </w:p>
  </w:endnote>
  <w:endnote w:type="continuationSeparator" w:id="0">
    <w:p w:rsidR="00042574" w:rsidRDefault="000425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74" w:rsidRDefault="00042574" w:rsidP="00EE7812">
      <w:pPr>
        <w:spacing w:after="0" w:line="240" w:lineRule="auto"/>
      </w:pPr>
      <w:r>
        <w:separator/>
      </w:r>
    </w:p>
  </w:footnote>
  <w:footnote w:type="continuationSeparator" w:id="0">
    <w:p w:rsidR="00042574" w:rsidRDefault="000425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proofErr w:type="spellStart"/>
    <w:r>
      <w:t>Computationis</w:t>
    </w:r>
    <w:proofErr w:type="spellEnd"/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 w:rsidR="000F454F">
      <w:t>1832</w:t>
    </w:r>
    <w:r w:rsidR="00BD12AD">
      <w:t>,</w:t>
    </w:r>
    <w:r w:rsidR="007B5A39">
      <w:t xml:space="preserve"> </w:t>
    </w:r>
    <w:r w:rsidR="00D842BC">
      <w:t>febrero 1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04257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74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5F4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tcp.gov.co/pubs!.php?document_id=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isionreformatributaria.word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5EE2-9776-41A4-93A0-DA13FCF4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2016-02-01T00:14:00Z</dcterms:created>
  <dcterms:modified xsi:type="dcterms:W3CDTF">2016-02-01T00:14:00Z</dcterms:modified>
</cp:coreProperties>
</file>