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12" w:rsidRPr="00327212" w:rsidRDefault="00327212" w:rsidP="0032721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327212">
        <w:rPr>
          <w:position w:val="-8"/>
          <w:sz w:val="120"/>
        </w:rPr>
        <w:t>C</w:t>
      </w:r>
    </w:p>
    <w:p w:rsidR="003B6509" w:rsidRDefault="00327212" w:rsidP="00C01F79">
      <w:r>
        <w:t>ontinúa el proceso de regulación de documentos importantes para el sistema contable. Aumentan los efectos de los avances de la electrónica.</w:t>
      </w:r>
    </w:p>
    <w:p w:rsidR="00380DFC" w:rsidRDefault="00380DFC" w:rsidP="00C01F79">
      <w:r>
        <w:t>Es posible que la factura sea uno de los más importantes documentos contables.</w:t>
      </w:r>
      <w:r w:rsidR="00EF6361">
        <w:t xml:space="preserve"> Nuestras leyes comerciales consagran el deber de expedir factura, obligación que ha sido objeto de pr</w:t>
      </w:r>
      <w:r w:rsidR="00781967">
        <w:t xml:space="preserve">ecisiones en materia tributaria. </w:t>
      </w:r>
    </w:p>
    <w:p w:rsidR="0029520B" w:rsidRDefault="00DB6E9F" w:rsidP="00C01F79">
      <w:r>
        <w:t>La</w:t>
      </w:r>
      <w:r w:rsidR="0029520B">
        <w:t xml:space="preserve"> Ley 6 de 1992, adicionó el Estatuto Tributario, incluyendo el </w:t>
      </w:r>
      <w:hyperlink r:id="rId9" w:history="1">
        <w:r w:rsidR="0029520B" w:rsidRPr="0029520B">
          <w:rPr>
            <w:rStyle w:val="Hyperlink"/>
          </w:rPr>
          <w:t>artículo 684-2</w:t>
        </w:r>
      </w:hyperlink>
      <w:r w:rsidR="0029520B">
        <w:t xml:space="preserve">, permitiendo a la autoridad fiscal obligar al uso de “(…) </w:t>
      </w:r>
      <w:r w:rsidR="0029520B" w:rsidRPr="009028D7">
        <w:rPr>
          <w:i/>
        </w:rPr>
        <w:t>sistemas técnicos razonables para el control de su actividad productora de renta</w:t>
      </w:r>
      <w:r w:rsidR="0029520B">
        <w:t xml:space="preserve"> (…)”.</w:t>
      </w:r>
    </w:p>
    <w:p w:rsidR="00781967" w:rsidRDefault="00635178" w:rsidP="00C01F79">
      <w:r>
        <w:t xml:space="preserve">La Ley 223 de 1995, adicionó al Estatuto Tributario el </w:t>
      </w:r>
      <w:hyperlink r:id="rId10" w:history="1">
        <w:r w:rsidRPr="00635178">
          <w:rPr>
            <w:rStyle w:val="Hyperlink"/>
          </w:rPr>
          <w:t>artículo 616-1</w:t>
        </w:r>
      </w:hyperlink>
      <w:r>
        <w:t>, el cual ordenó la reglament</w:t>
      </w:r>
      <w:r w:rsidR="00DB6E9F">
        <w:t>ación de la factura electrónica, considerada entonces como un documento equivalente a la factura.</w:t>
      </w:r>
    </w:p>
    <w:p w:rsidR="00634CB1" w:rsidRDefault="00634CB1" w:rsidP="00634CB1">
      <w:r>
        <w:t xml:space="preserve">La </w:t>
      </w:r>
      <w:hyperlink r:id="rId11" w:history="1">
        <w:r w:rsidRPr="00A21395">
          <w:rPr>
            <w:rStyle w:val="Hyperlink"/>
          </w:rPr>
          <w:t>Ley 962 de 2005</w:t>
        </w:r>
      </w:hyperlink>
      <w:r>
        <w:t>, en su artículo 26, reguló la factura electrónica.</w:t>
      </w:r>
    </w:p>
    <w:p w:rsidR="00634CB1" w:rsidRDefault="00634CB1" w:rsidP="00C01F79">
      <w:r>
        <w:t xml:space="preserve">La </w:t>
      </w:r>
      <w:hyperlink r:id="rId12" w:anchor="183" w:history="1">
        <w:r w:rsidRPr="00634CB1">
          <w:rPr>
            <w:rStyle w:val="Hyperlink"/>
          </w:rPr>
          <w:t>Ley 1607 de 2012</w:t>
        </w:r>
      </w:hyperlink>
      <w:r>
        <w:t xml:space="preserve">, en su artículo 183, reiteró la facultad de la DIAN de introducir sistemas de control, </w:t>
      </w:r>
      <w:r w:rsidR="009F639B">
        <w:t>aludiendo</w:t>
      </w:r>
      <w:r>
        <w:t xml:space="preserve"> al uso de “</w:t>
      </w:r>
      <w:r w:rsidRPr="00FD1162">
        <w:rPr>
          <w:i/>
        </w:rPr>
        <w:t>tecnologías</w:t>
      </w:r>
      <w:r>
        <w:t xml:space="preserve">” </w:t>
      </w:r>
      <w:r w:rsidRPr="00634CB1">
        <w:t>con el fin de combatir el fraude, la evasión y el contrabando</w:t>
      </w:r>
      <w:r>
        <w:t>.</w:t>
      </w:r>
    </w:p>
    <w:p w:rsidR="009F639B" w:rsidRDefault="009F639B" w:rsidP="00C01F79">
      <w:r>
        <w:t xml:space="preserve">Mediante la </w:t>
      </w:r>
      <w:hyperlink r:id="rId13" w:history="1">
        <w:r w:rsidRPr="00FD1162">
          <w:rPr>
            <w:rStyle w:val="Hyperlink"/>
          </w:rPr>
          <w:t>Resolución 1684 de 2014</w:t>
        </w:r>
      </w:hyperlink>
      <w:r>
        <w:t>, el Secretario General de la Comunidad Andina</w:t>
      </w:r>
      <w:r w:rsidR="00FD1162">
        <w:t xml:space="preserve">, se ocupó de la </w:t>
      </w:r>
      <w:r w:rsidR="00FD1162" w:rsidRPr="00FD1162">
        <w:t>Actualización del Reglamento Comunitario de la Decisión 571 - Valor en Aduana de las Mercancías Importadas</w:t>
      </w:r>
      <w:r w:rsidR="00FD1162">
        <w:t>, decisión en la cual (artículo 9) se regula la factura comercial.</w:t>
      </w:r>
    </w:p>
    <w:p w:rsidR="008D125E" w:rsidRDefault="008D125E" w:rsidP="00C01F79">
      <w:r>
        <w:lastRenderedPageBreak/>
        <w:t xml:space="preserve">Mediante el </w:t>
      </w:r>
      <w:hyperlink r:id="rId14" w:history="1">
        <w:r w:rsidRPr="008D125E">
          <w:rPr>
            <w:rStyle w:val="Hyperlink"/>
          </w:rPr>
          <w:t>Decreto 2242 de 2015</w:t>
        </w:r>
      </w:hyperlink>
      <w:r>
        <w:t xml:space="preserve">, el Gobierno Nacional reglamentó “(…) </w:t>
      </w:r>
      <w:r w:rsidRPr="007D439E">
        <w:rPr>
          <w:i/>
        </w:rPr>
        <w:t>las condiciones de expedición e interoperabilidad de la factura electrónica con fines de masificación y control fiscal.</w:t>
      </w:r>
      <w:r>
        <w:t xml:space="preserve"> (…)”.</w:t>
      </w:r>
    </w:p>
    <w:p w:rsidR="007D439E" w:rsidRDefault="007D439E" w:rsidP="00C01F79">
      <w:r>
        <w:t xml:space="preserve">Mediante la </w:t>
      </w:r>
      <w:hyperlink r:id="rId15" w:history="1">
        <w:r w:rsidRPr="007D439E">
          <w:rPr>
            <w:rStyle w:val="Hyperlink"/>
          </w:rPr>
          <w:t>Resolución 19 de 2016</w:t>
        </w:r>
      </w:hyperlink>
      <w:r>
        <w:t xml:space="preserve">, el Director de la Dian, prescribió “(…) </w:t>
      </w:r>
      <w:r w:rsidRPr="007D439E">
        <w:rPr>
          <w:i/>
        </w:rPr>
        <w:t>un sistema técnico de control para la factura electrónica acorde con el Decreto 2242 de 2015, se señalan los procedimientos que deben agotar y los requisitos que deben cumplir los sujetos del ámbito de este decreto y se disponen otros aspectos en relación con la factura electrónica.</w:t>
      </w:r>
      <w:r>
        <w:t xml:space="preserve"> (…)”, providencia </w:t>
      </w:r>
      <w:r w:rsidR="009F639B">
        <w:t>cuyo artículo 8</w:t>
      </w:r>
      <w:r>
        <w:t xml:space="preserve"> establece que </w:t>
      </w:r>
      <w:r w:rsidR="009F639B">
        <w:t xml:space="preserve">“(…) </w:t>
      </w:r>
      <w:r w:rsidR="009F639B" w:rsidRPr="009F639B">
        <w:rPr>
          <w:i/>
        </w:rPr>
        <w:t>Quienes facturen electrónicamente deberán entregar a la DIAN el ejemplar de cada una de las facturas electrónicas y de las notas débito o crédito que tengan relación con la facturación, en formato electrónico de generación XML, máximo dentro de las 48 horas siguientes a su generación. La factura electrónica, las notas débito y/o crédito se entenderán generadas en el momento en que se firmen, de conformidad con la política de firma adoptada en la presente Resolución.</w:t>
      </w:r>
      <w:r w:rsidR="009F639B">
        <w:t xml:space="preserve"> (…)”.</w:t>
      </w:r>
    </w:p>
    <w:p w:rsidR="00FD1162" w:rsidRDefault="00FD1162" w:rsidP="00C01F79">
      <w:r>
        <w:t xml:space="preserve">En vista de la cortedad del plazo señalado para enviarle la factura, es probable que la DIAN </w:t>
      </w:r>
      <w:r w:rsidR="007C5FB8">
        <w:t xml:space="preserve">la </w:t>
      </w:r>
      <w:r>
        <w:t>conozca antes que los contadores de la entidad y su revisor fiscal</w:t>
      </w:r>
      <w:r w:rsidR="007C5FB8">
        <w:t xml:space="preserve">, aumentando así el riesgo consistente en que la autoridad </w:t>
      </w:r>
      <w:r w:rsidR="00055EEF">
        <w:t>advierta</w:t>
      </w:r>
      <w:r w:rsidR="007C5FB8">
        <w:t xml:space="preserve"> una irregularidad antes que dichos profesionales.</w:t>
      </w:r>
      <w:r w:rsidR="00055EEF">
        <w:t xml:space="preserve"> </w:t>
      </w:r>
      <w:r w:rsidR="00B41397">
        <w:t>Estos no tienen</w:t>
      </w:r>
      <w:r w:rsidR="00055EEF">
        <w:t xml:space="preserve"> más salida que incorporar tecnologías de punta para controlar esta amenaza.</w:t>
      </w:r>
    </w:p>
    <w:p w:rsidR="00055EEF" w:rsidRPr="00055EEF" w:rsidRDefault="00055EEF" w:rsidP="00055EEF">
      <w:pPr>
        <w:jc w:val="right"/>
        <w:rPr>
          <w:i/>
        </w:rPr>
      </w:pPr>
      <w:r w:rsidRPr="00055EEF">
        <w:rPr>
          <w:i/>
        </w:rPr>
        <w:t>Hernando Bermúdez Gómez</w:t>
      </w:r>
    </w:p>
    <w:sectPr w:rsidR="00055EEF" w:rsidRPr="00055EEF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D2" w:rsidRDefault="007E11D2" w:rsidP="00EE7812">
      <w:pPr>
        <w:spacing w:after="0" w:line="240" w:lineRule="auto"/>
      </w:pPr>
      <w:r>
        <w:separator/>
      </w:r>
    </w:p>
  </w:endnote>
  <w:endnote w:type="continuationSeparator" w:id="0">
    <w:p w:rsidR="007E11D2" w:rsidRDefault="007E11D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D2" w:rsidRDefault="007E11D2" w:rsidP="00EE7812">
      <w:pPr>
        <w:spacing w:after="0" w:line="240" w:lineRule="auto"/>
      </w:pPr>
      <w:r>
        <w:separator/>
      </w:r>
    </w:p>
  </w:footnote>
  <w:footnote w:type="continuationSeparator" w:id="0">
    <w:p w:rsidR="007E11D2" w:rsidRDefault="007E11D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A5894">
      <w:t>1913</w:t>
    </w:r>
    <w:r w:rsidR="00107416">
      <w:t xml:space="preserve">, </w:t>
    </w:r>
    <w:r w:rsidR="00D35BAE">
      <w:t>marzo 7</w:t>
    </w:r>
    <w:r w:rsidR="00107416">
      <w:t xml:space="preserve"> de 2016</w:t>
    </w:r>
  </w:p>
  <w:p w:rsidR="00107416" w:rsidRDefault="007E11D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20"/>
    <w:rsid w:val="000A7CB1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778"/>
    <w:rsid w:val="00124805"/>
    <w:rsid w:val="001248CE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E5"/>
    <w:rsid w:val="00386D13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204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9F1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894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1D2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601D"/>
    <w:rsid w:val="007E60F1"/>
    <w:rsid w:val="007E613C"/>
    <w:rsid w:val="007E64C2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6ED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5A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359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BDB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EBF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6C9"/>
    <w:rsid w:val="00AD078A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1C1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E6F"/>
    <w:rsid w:val="00C92EEE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1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4F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5D2"/>
    <w:rsid w:val="00F32649"/>
    <w:rsid w:val="00F32987"/>
    <w:rsid w:val="00F32ACC"/>
    <w:rsid w:val="00F32B6C"/>
    <w:rsid w:val="00F32C9C"/>
    <w:rsid w:val="00F32DBA"/>
    <w:rsid w:val="00F32ED6"/>
    <w:rsid w:val="00F32FF8"/>
    <w:rsid w:val="00F3319C"/>
    <w:rsid w:val="00F33488"/>
    <w:rsid w:val="00F334DB"/>
    <w:rsid w:val="00F33859"/>
    <w:rsid w:val="00F33A66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0E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AbrirDocumento('http://intranet.comunidadandina.org/Documentos/resoluciones/RESO%201684.docx')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retariasenado.gov.co/senado/basedoc/ley_1607_2012_pr003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aldiabogota.gov.co/sisjur/normas/Norma1.jsp?i=170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an.gov.co/descargas/normatividad/2016/Resoluciones/Factura_Electronica/Resolucion_000019_24_Febrero_2016_FACTURA_ELECTRONICA.pdf" TargetMode="External"/><Relationship Id="rId10" Type="http://schemas.openxmlformats.org/officeDocument/2006/relationships/hyperlink" Target="http://www.dian.gov.co/dian/15servicios.nsf/0108fdc3639d83ff05256f0b006abb3d/bc09135be3ef642005256f0e005272e9?OpenDocume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ian.gov.co/dian/15servicios.nsf/0108fdc3639d83ff05256f0b006abb3d/5898e65a830e7d5c05256f0e0058fbff?OpenDocument" TargetMode="External"/><Relationship Id="rId14" Type="http://schemas.openxmlformats.org/officeDocument/2006/relationships/hyperlink" Target="http://wp.presidencia.gov.co/sitios/normativa/decretos/2015/Decretos2015/DECRETO%202242%20DEL%2024%20DE%20NOVIEMBRE%20DE%20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F3A7-596A-46F6-93F7-2EC0B0E3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2016-03-06T18:55:00Z</dcterms:created>
  <dcterms:modified xsi:type="dcterms:W3CDTF">2016-03-06T18:55:00Z</dcterms:modified>
</cp:coreProperties>
</file>