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30" w:rsidRPr="00036630" w:rsidRDefault="00036630" w:rsidP="0003663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036630">
        <w:rPr>
          <w:position w:val="-8"/>
          <w:sz w:val="123"/>
        </w:rPr>
        <w:t>P</w:t>
      </w:r>
    </w:p>
    <w:p w:rsidR="003D1733" w:rsidRDefault="00036630" w:rsidP="003C12C6">
      <w:r>
        <w:t xml:space="preserve">reguntado el </w:t>
      </w:r>
      <w:hyperlink r:id="rId9" w:history="1">
        <w:r w:rsidRPr="00F7492F">
          <w:rPr>
            <w:rStyle w:val="Hyperlink"/>
          </w:rPr>
          <w:t>Consejo Técnico de la Contaduría Pública</w:t>
        </w:r>
      </w:hyperlink>
      <w:r>
        <w:t xml:space="preserve"> si “(…) </w:t>
      </w:r>
      <w:r w:rsidRPr="00036630">
        <w:rPr>
          <w:i/>
        </w:rPr>
        <w:t>las fundaciones, como entidades sin ánimo de lucro, están obligadas a tener revisor fiscal</w:t>
      </w:r>
      <w:r>
        <w:t xml:space="preserve"> (…)”, </w:t>
      </w:r>
      <w:hyperlink r:id="rId10" w:history="1">
        <w:r w:rsidRPr="00036630">
          <w:rPr>
            <w:rStyle w:val="Hyperlink"/>
          </w:rPr>
          <w:t>respondió</w:t>
        </w:r>
      </w:hyperlink>
      <w:r>
        <w:t xml:space="preserve"> que “(…) </w:t>
      </w:r>
      <w:r w:rsidRPr="00036630">
        <w:rPr>
          <w:i/>
        </w:rPr>
        <w:t>la norma antes citada establece la obligatoriedad de tener revisor fiscal para este tipo de sociedades.</w:t>
      </w:r>
      <w:r>
        <w:t xml:space="preserve"> (…)”.</w:t>
      </w:r>
    </w:p>
    <w:p w:rsidR="009A7264" w:rsidRDefault="009A7264" w:rsidP="003C12C6">
      <w:r>
        <w:t>Las sociedades son personas jurídicas muy distintas de las fundaciones.</w:t>
      </w:r>
      <w:r w:rsidR="00F7492F">
        <w:t xml:space="preserve"> Por lo tanto a éstas no aplica el artículo 203 del </w:t>
      </w:r>
      <w:hyperlink r:id="rId11" w:history="1">
        <w:r w:rsidR="00F7492F" w:rsidRPr="00F7492F">
          <w:rPr>
            <w:rStyle w:val="Hyperlink"/>
          </w:rPr>
          <w:t>Código de Comercio</w:t>
        </w:r>
      </w:hyperlink>
      <w:r w:rsidR="00F7492F">
        <w:t xml:space="preserve">, que con error invoca el mencionado organismo en su respuesta a la consulta 78 de 2016. Las fundaciones tienen que tener revisor fiscal porque así lo dispuso el Gobierno al </w:t>
      </w:r>
      <w:r w:rsidR="006F3650">
        <w:t>establecer</w:t>
      </w:r>
      <w:r w:rsidR="00F7492F">
        <w:t xml:space="preserve"> el contenido de los estatutos que deben presentarse ante la Cámara de Comercio respectiva (</w:t>
      </w:r>
      <w:hyperlink r:id="rId12" w:history="1">
        <w:r w:rsidR="00F7492F" w:rsidRPr="00F7492F">
          <w:rPr>
            <w:rStyle w:val="Hyperlink"/>
          </w:rPr>
          <w:t>Decreto extraordinario 2150 de 1995</w:t>
        </w:r>
      </w:hyperlink>
      <w:r w:rsidR="00F7492F">
        <w:t>).</w:t>
      </w:r>
    </w:p>
    <w:p w:rsidR="00A132FD" w:rsidRDefault="00A132FD" w:rsidP="003C12C6">
      <w:r>
        <w:t xml:space="preserve">El </w:t>
      </w:r>
      <w:hyperlink r:id="rId13" w:history="1">
        <w:r w:rsidRPr="00A132FD">
          <w:rPr>
            <w:rStyle w:val="Hyperlink"/>
          </w:rPr>
          <w:t>Decreto reglamentario 1066 de 2015</w:t>
        </w:r>
      </w:hyperlink>
      <w:r>
        <w:t xml:space="preserve">, también mencionado por el CTCP en la respuesta que venimos comentando, </w:t>
      </w:r>
      <w:r w:rsidR="00431168">
        <w:t xml:space="preserve">entre otras cosas </w:t>
      </w:r>
      <w:r>
        <w:t>trata “</w:t>
      </w:r>
      <w:r w:rsidRPr="00A132FD">
        <w:rPr>
          <w:i/>
        </w:rPr>
        <w:t>De la cancelación de personerías jurídicas de asociaciones o corporaciones y fundaciones o instituciones de utilidad común, en los departamentos</w:t>
      </w:r>
      <w:r>
        <w:t>”</w:t>
      </w:r>
      <w:r w:rsidR="00431168">
        <w:t>, aparte en el cual se encuentra el artículo 2.2.1.3.2, al que aludió el CTCP:</w:t>
      </w:r>
      <w:r w:rsidR="00DB79B1">
        <w:t xml:space="preserve"> Además del claro error de compilación en que incurrió</w:t>
      </w:r>
      <w:r w:rsidR="005B03EB">
        <w:t xml:space="preserve"> el Gobierno</w:t>
      </w:r>
      <w:r w:rsidR="00DB79B1">
        <w:t>, al incluir una norma sobre los estatutos en el capítulo de la cancelación, debe señalarse que se refiere a entidades bajo la vigilancia de los gobernadores.</w:t>
      </w:r>
      <w:r w:rsidR="008D45B2">
        <w:t xml:space="preserve"> Este asunto poco se ha estudiado. Es muy probable que muchos contadores no lo tengan claro.</w:t>
      </w:r>
    </w:p>
    <w:p w:rsidR="00C54814" w:rsidRDefault="00C54814" w:rsidP="003C12C6">
      <w:r>
        <w:lastRenderedPageBreak/>
        <w:t xml:space="preserve">Sobre este tema hay que consultar la </w:t>
      </w:r>
      <w:hyperlink r:id="rId14" w:history="1">
        <w:r w:rsidRPr="00C54814">
          <w:rPr>
            <w:rStyle w:val="Hyperlink"/>
          </w:rPr>
          <w:t>Ley 22 de 1987</w:t>
        </w:r>
      </w:hyperlink>
      <w:r>
        <w:t xml:space="preserve">, así como los decretos </w:t>
      </w:r>
      <w:hyperlink r:id="rId15" w:history="1">
        <w:r w:rsidRPr="00C54814">
          <w:rPr>
            <w:rStyle w:val="Hyperlink"/>
          </w:rPr>
          <w:t>1318 de 1988</w:t>
        </w:r>
      </w:hyperlink>
      <w:r>
        <w:t xml:space="preserve"> y </w:t>
      </w:r>
      <w:hyperlink r:id="rId16" w:history="1">
        <w:r w:rsidRPr="005B03EB">
          <w:rPr>
            <w:rStyle w:val="Hyperlink"/>
          </w:rPr>
          <w:t>1093 de 1989</w:t>
        </w:r>
      </w:hyperlink>
      <w:r>
        <w:t>.</w:t>
      </w:r>
      <w:r w:rsidR="005B03EB">
        <w:t xml:space="preserve"> </w:t>
      </w:r>
      <w:r w:rsidR="006F3650">
        <w:t>Como se ve,</w:t>
      </w:r>
      <w:r w:rsidR="005B03EB">
        <w:t xml:space="preserve"> estas normas no se refieren a todas las fundaciones, sino únicamente a aquéllas cuya vigilancia delegó el Presidente a los departamentos.</w:t>
      </w:r>
    </w:p>
    <w:p w:rsidR="00A75F8F" w:rsidRDefault="00A75F8F" w:rsidP="003C12C6">
      <w:r>
        <w:t xml:space="preserve">El aludido decreto 2150, que tiene fuerza de ley puesto que fue expedido en desarrollo de las facultades extraordinarias concedidas al Presidente mediante la </w:t>
      </w:r>
      <w:hyperlink r:id="rId17" w:history="1">
        <w:r w:rsidRPr="00A75F8F">
          <w:rPr>
            <w:rStyle w:val="Hyperlink"/>
          </w:rPr>
          <w:t>Ley 190 de 1995</w:t>
        </w:r>
      </w:hyperlink>
      <w:r>
        <w:t xml:space="preserve">, eliminó “(…) </w:t>
      </w:r>
      <w:r w:rsidRPr="00A75F8F">
        <w:rPr>
          <w:i/>
        </w:rPr>
        <w:t>el acto de reconocimiento de personería jurídica de las organizaciones civiles, las corporaciones, las fundaciones, las juntas de acción comunal y de las demás entidades privadas sin ánimo de lucro</w:t>
      </w:r>
      <w:r>
        <w:t xml:space="preserve"> (…)”.</w:t>
      </w:r>
    </w:p>
    <w:p w:rsidR="00C64E7C" w:rsidRDefault="00F8427A" w:rsidP="003C12C6">
      <w:r>
        <w:t>En verdad en Colombia es muy difícil saber qué norma aplica a ciertos casos, puesto que el legislador y el gobierno han ejercicio en forma desordenada sus facultades. Por eso son muy importantes los llamados decretos únicos, que pretenden compilar las normas de un sector.</w:t>
      </w:r>
      <w:r w:rsidR="00B41FFC">
        <w:t xml:space="preserve"> Con todo, hay que tener entrenamiento, porque de lo contrario, uno puede saltarse cuestiones</w:t>
      </w:r>
      <w:r w:rsidR="006F3650">
        <w:t>,</w:t>
      </w:r>
      <w:r w:rsidR="00B41FFC">
        <w:t xml:space="preserve"> como que una norma no es general sino que aplica a cierto tipo de entidades.</w:t>
      </w:r>
    </w:p>
    <w:p w:rsidR="00870D49" w:rsidRDefault="006F3650" w:rsidP="003C12C6">
      <w:r>
        <w:t>Ya en Contrapartida mencionamos la extensión de la revisoría fiscal, desde las sociedades comerciales a otras personas, con lo cual se desdibujó el citado organismo, en forma inconsulta, probablemente debido a un desconocimiento de la institución, que debería ser del dominio de los contadores.</w:t>
      </w:r>
    </w:p>
    <w:p w:rsidR="006F3650" w:rsidRPr="006F3650" w:rsidRDefault="006F3650" w:rsidP="006F3650">
      <w:pPr>
        <w:jc w:val="right"/>
        <w:rPr>
          <w:i/>
        </w:rPr>
      </w:pPr>
      <w:r w:rsidRPr="006F3650">
        <w:rPr>
          <w:i/>
        </w:rPr>
        <w:t>Hernando Bermúdez Gómez</w:t>
      </w:r>
    </w:p>
    <w:sectPr w:rsidR="006F3650" w:rsidRPr="006F3650" w:rsidSect="007F1D21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5A" w:rsidRDefault="003B395A" w:rsidP="00EE7812">
      <w:pPr>
        <w:spacing w:after="0" w:line="240" w:lineRule="auto"/>
      </w:pPr>
      <w:r>
        <w:separator/>
      </w:r>
    </w:p>
  </w:endnote>
  <w:endnote w:type="continuationSeparator" w:id="0">
    <w:p w:rsidR="003B395A" w:rsidRDefault="003B395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5A" w:rsidRDefault="003B395A" w:rsidP="00EE7812">
      <w:pPr>
        <w:spacing w:after="0" w:line="240" w:lineRule="auto"/>
      </w:pPr>
      <w:r>
        <w:separator/>
      </w:r>
    </w:p>
  </w:footnote>
  <w:footnote w:type="continuationSeparator" w:id="0">
    <w:p w:rsidR="003B395A" w:rsidRDefault="003B395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3C12C6">
      <w:t>1980</w:t>
    </w:r>
    <w:r w:rsidR="00107416">
      <w:t xml:space="preserve">, </w:t>
    </w:r>
    <w:r w:rsidR="00F25945">
      <w:t>abril</w:t>
    </w:r>
    <w:r w:rsidR="008A2CBE">
      <w:t xml:space="preserve"> </w:t>
    </w:r>
    <w:r w:rsidR="00983BA9">
      <w:t>11</w:t>
    </w:r>
    <w:r w:rsidR="00107416">
      <w:t xml:space="preserve"> de 2016</w:t>
    </w:r>
  </w:p>
  <w:p w:rsidR="00107416" w:rsidRDefault="003B395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F7F"/>
    <w:rsid w:val="00045242"/>
    <w:rsid w:val="000452CB"/>
    <w:rsid w:val="00045584"/>
    <w:rsid w:val="0004561E"/>
    <w:rsid w:val="0004572F"/>
    <w:rsid w:val="00045763"/>
    <w:rsid w:val="0004577D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5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DDC"/>
    <w:rsid w:val="004E3E3E"/>
    <w:rsid w:val="004E3F03"/>
    <w:rsid w:val="004E41A1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80"/>
    <w:rsid w:val="00787EF2"/>
    <w:rsid w:val="00787F8A"/>
    <w:rsid w:val="0079047F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403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3FA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501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8F0"/>
    <w:rsid w:val="00DE693B"/>
    <w:rsid w:val="00DE6C3B"/>
    <w:rsid w:val="00DE6C8B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interior.gov.co/sites/default/files/decreto_1066_de_2015_unico_reglamentario_del_sector_administrativo_del_interior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lcaldiabogota.gov.co/sisjur/normas/Norma1.jsp?i=1208" TargetMode="External"/><Relationship Id="rId17" Type="http://schemas.openxmlformats.org/officeDocument/2006/relationships/hyperlink" Target="http://www.javeriana.edu.co/personales/hbermude/leycontable/contadores/1995-ley-19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caldiabogota.gov.co/sisjur/normas/Norma1.jsp?i=82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71-decreto-410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caldiabogota.gov.co/sisjur/normas/Norma1.jsp?i=1237" TargetMode="External"/><Relationship Id="rId10" Type="http://schemas.openxmlformats.org/officeDocument/2006/relationships/hyperlink" Target="http://www.ctcp.gov.co/conceptos.php?pageNum_rslistdocuments=1&amp;totalRows_rslistdocuments=73&amp;concept_id=2016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index.php" TargetMode="External"/><Relationship Id="rId14" Type="http://schemas.openxmlformats.org/officeDocument/2006/relationships/hyperlink" Target="http://www.alcaldiabogota.gov.co/sisjur/normas/Norma1.jsp?i=2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10E8-35C4-4051-87F8-C72B0466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3680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2016-04-10T14:53:00Z</dcterms:created>
  <dcterms:modified xsi:type="dcterms:W3CDTF">2016-04-10T14:53:00Z</dcterms:modified>
</cp:coreProperties>
</file>