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7F95A" w14:textId="58C78D8D" w:rsidR="002C0180" w:rsidRPr="002C0180" w:rsidRDefault="002C0180" w:rsidP="002C0180">
      <w:pPr>
        <w:keepNext/>
        <w:framePr w:dropCap="drop" w:lines="3" w:wrap="around" w:vAnchor="text" w:hAnchor="text"/>
        <w:spacing w:after="0" w:line="926" w:lineRule="exact"/>
        <w:textAlignment w:val="baseline"/>
        <w:rPr>
          <w:position w:val="-9"/>
          <w:sz w:val="123"/>
        </w:rPr>
      </w:pPr>
      <w:bookmarkStart w:id="0" w:name="_GoBack"/>
      <w:bookmarkEnd w:id="0"/>
      <w:r w:rsidRPr="002C0180">
        <w:rPr>
          <w:position w:val="-9"/>
          <w:sz w:val="123"/>
        </w:rPr>
        <w:t>E</w:t>
      </w:r>
    </w:p>
    <w:p w14:paraId="60E214E6" w14:textId="70ABE5F3" w:rsidR="008824F8" w:rsidRDefault="002C0180" w:rsidP="0032558D">
      <w:r>
        <w:t>n lugar de encerrarnos en nosotros mismos, o de poner los ojos en culturas contables parecidas a la nuestra, es conveniente fijarnos en los pueblos más desarrollados</w:t>
      </w:r>
      <w:r w:rsidR="00AE7C63">
        <w:t>, en los cuales los contadores gozan de un gran prestigio.</w:t>
      </w:r>
    </w:p>
    <w:p w14:paraId="0DA185FB" w14:textId="2005C549" w:rsidR="009A57FE" w:rsidRDefault="009A57FE" w:rsidP="0032558D">
      <w:r>
        <w:t xml:space="preserve">En ese orden de ideas, a riesgo de equivocarnos, debemos estar al tanto de lo que sucede en Canadá, Estados Unidos de América, Brasil, Reino Unido, Francia, Alemania, Suiza, </w:t>
      </w:r>
      <w:r w:rsidR="00CD7283">
        <w:t xml:space="preserve">Sur África, Australia, India, China y Japón. </w:t>
      </w:r>
    </w:p>
    <w:p w14:paraId="62C15C6F" w14:textId="467A9081" w:rsidR="0060774A" w:rsidRDefault="00627684" w:rsidP="00627684">
      <w:pPr>
        <w:rPr>
          <w:lang w:val="es-ES"/>
        </w:rPr>
      </w:pPr>
      <w:proofErr w:type="spellStart"/>
      <w:r w:rsidRPr="00627684">
        <w:rPr>
          <w:lang w:val="en-US"/>
        </w:rPr>
        <w:t>Repetidamente</w:t>
      </w:r>
      <w:proofErr w:type="spellEnd"/>
      <w:r w:rsidRPr="00627684">
        <w:rPr>
          <w:lang w:val="en-US"/>
        </w:rPr>
        <w:t xml:space="preserve"> </w:t>
      </w:r>
      <w:proofErr w:type="spellStart"/>
      <w:r w:rsidRPr="00627684">
        <w:rPr>
          <w:lang w:val="en-US"/>
        </w:rPr>
        <w:t>nos</w:t>
      </w:r>
      <w:proofErr w:type="spellEnd"/>
      <w:r w:rsidRPr="00627684">
        <w:rPr>
          <w:lang w:val="en-US"/>
        </w:rPr>
        <w:t xml:space="preserve"> llama la </w:t>
      </w:r>
      <w:proofErr w:type="spellStart"/>
      <w:r w:rsidRPr="00627684">
        <w:rPr>
          <w:lang w:val="en-US"/>
        </w:rPr>
        <w:t>atención</w:t>
      </w:r>
      <w:proofErr w:type="spellEnd"/>
      <w:r w:rsidRPr="00627684">
        <w:rPr>
          <w:lang w:val="en-US"/>
        </w:rPr>
        <w:t xml:space="preserve"> el Financial Reporting Council (FRC) del </w:t>
      </w:r>
      <w:proofErr w:type="spellStart"/>
      <w:r w:rsidRPr="00627684">
        <w:rPr>
          <w:lang w:val="en-US"/>
        </w:rPr>
        <w:t>Reino</w:t>
      </w:r>
      <w:proofErr w:type="spellEnd"/>
      <w:r w:rsidRPr="00627684">
        <w:rPr>
          <w:lang w:val="en-US"/>
        </w:rPr>
        <w:t xml:space="preserve"> </w:t>
      </w:r>
      <w:proofErr w:type="spellStart"/>
      <w:r w:rsidRPr="00627684">
        <w:rPr>
          <w:lang w:val="en-US"/>
        </w:rPr>
        <w:t>Unido</w:t>
      </w:r>
      <w:proofErr w:type="spellEnd"/>
      <w:r w:rsidRPr="00627684">
        <w:rPr>
          <w:lang w:val="en-US"/>
        </w:rPr>
        <w:t xml:space="preserve">: </w:t>
      </w:r>
      <w:r>
        <w:rPr>
          <w:lang w:val="en-US"/>
        </w:rPr>
        <w:t>“</w:t>
      </w:r>
      <w:r w:rsidRPr="00627684">
        <w:rPr>
          <w:i/>
          <w:lang w:val="en-US"/>
        </w:rPr>
        <w:t>The FRC exercises its regulatory responsibilities in a proportionate and evidence-based way, informed by the expertise of market participants - company directors, accountants, actuaries and investors. As the UK's independent regulator it focuses on promoting high levels of audit quality and contributes to the international debate on the future of the audit market. It promotes high quality corporate reporting and governance, publishing Codes and Standards that companies, auditors, actuaries and accountants adopt. The goal of the FRC's work is to foster a climate in which investment can flourish.</w:t>
      </w:r>
      <w:r>
        <w:rPr>
          <w:lang w:val="en-US"/>
        </w:rPr>
        <w:t xml:space="preserve">” </w:t>
      </w:r>
      <w:r w:rsidRPr="00627684">
        <w:rPr>
          <w:lang w:val="es-ES"/>
        </w:rPr>
        <w:t xml:space="preserve">Este enfoque supera al que se puede </w:t>
      </w:r>
      <w:r>
        <w:rPr>
          <w:lang w:val="es-ES"/>
        </w:rPr>
        <w:t>observa</w:t>
      </w:r>
      <w:r w:rsidRPr="00627684">
        <w:rPr>
          <w:lang w:val="es-ES"/>
        </w:rPr>
        <w:t>r en muchos pa</w:t>
      </w:r>
      <w:r>
        <w:rPr>
          <w:lang w:val="es-ES"/>
        </w:rPr>
        <w:t xml:space="preserve">íses, porque incluye como objetivo primario promover el buen gobierno de las organizaciones, el cual </w:t>
      </w:r>
      <w:r w:rsidR="007F31D1">
        <w:rPr>
          <w:lang w:val="es-ES"/>
        </w:rPr>
        <w:t>supone</w:t>
      </w:r>
      <w:r>
        <w:rPr>
          <w:lang w:val="es-ES"/>
        </w:rPr>
        <w:t>, entre otras cosas, el diseño de informes de alta calidad.</w:t>
      </w:r>
      <w:r w:rsidR="00E21819">
        <w:rPr>
          <w:lang w:val="es-ES"/>
        </w:rPr>
        <w:t xml:space="preserve"> </w:t>
      </w:r>
      <w:r w:rsidR="0060774A">
        <w:rPr>
          <w:lang w:val="es-ES"/>
        </w:rPr>
        <w:t>Modernamente ha</w:t>
      </w:r>
      <w:r w:rsidR="00E21819">
        <w:rPr>
          <w:lang w:val="es-ES"/>
        </w:rPr>
        <w:t>n</w:t>
      </w:r>
      <w:r w:rsidR="0060774A">
        <w:rPr>
          <w:lang w:val="es-ES"/>
        </w:rPr>
        <w:t xml:space="preserve"> alcanzado alta calificación los principios de buen gobierno emitidos por la </w:t>
      </w:r>
      <w:hyperlink r:id="rId8" w:history="1">
        <w:r w:rsidR="0060774A" w:rsidRPr="00E21819">
          <w:rPr>
            <w:rStyle w:val="Hipervnculo"/>
            <w:lang w:val="es-ES"/>
          </w:rPr>
          <w:t>OECD</w:t>
        </w:r>
      </w:hyperlink>
      <w:r w:rsidR="003A534D">
        <w:rPr>
          <w:lang w:val="es-ES"/>
        </w:rPr>
        <w:t xml:space="preserve">, que se pueden </w:t>
      </w:r>
      <w:r w:rsidR="003A534D">
        <w:rPr>
          <w:lang w:val="es-ES"/>
        </w:rPr>
        <w:t>contrastar con las estructuras de varios países con desarrollos propios.</w:t>
      </w:r>
    </w:p>
    <w:p w14:paraId="173EDB14" w14:textId="006B233B" w:rsidR="00E21819" w:rsidRDefault="00E21819" w:rsidP="00627684">
      <w:pPr>
        <w:rPr>
          <w:lang w:val="es-ES"/>
        </w:rPr>
      </w:pPr>
      <w:r>
        <w:rPr>
          <w:lang w:val="es-ES"/>
        </w:rPr>
        <w:t>Los códigos de conducta de los administradores, en cuanto enfrentan los riesgos derivados de la agencia y en cuanto atienden a la responsabilidad social, son fundamentales para el adecuado ejercicio de los servicios de aseguramiento.</w:t>
      </w:r>
      <w:r w:rsidR="00E23811">
        <w:rPr>
          <w:lang w:val="es-ES"/>
        </w:rPr>
        <w:t xml:space="preserve"> Es muy difícil llevar a cabo una buena auditoría en las empresas en las cuales los administradores no tienen más valores que producir dinero para ellos mismos y para los controlantes de la organización, justificando en ello la repetida violación de las normas legales, incurriendo en evasión fiscal, contrabando, lavado de activos y maquil</w:t>
      </w:r>
      <w:r w:rsidR="003A534D">
        <w:rPr>
          <w:lang w:val="es-ES"/>
        </w:rPr>
        <w:t>laje de los estados financieros</w:t>
      </w:r>
      <w:r w:rsidR="007F31D1">
        <w:rPr>
          <w:lang w:val="es-ES"/>
        </w:rPr>
        <w:t>.</w:t>
      </w:r>
    </w:p>
    <w:p w14:paraId="29332E81" w14:textId="6DD8F6F4" w:rsidR="007F31D1" w:rsidRDefault="007F31D1" w:rsidP="00627684">
      <w:pPr>
        <w:rPr>
          <w:lang w:val="es-ES"/>
        </w:rPr>
      </w:pPr>
      <w:r>
        <w:rPr>
          <w:lang w:val="es-ES"/>
        </w:rPr>
        <w:t xml:space="preserve">Los </w:t>
      </w:r>
      <w:hyperlink r:id="rId9" w:history="1">
        <w:r w:rsidRPr="007F31D1">
          <w:rPr>
            <w:rStyle w:val="Hipervnculo"/>
            <w:lang w:val="es-ES"/>
          </w:rPr>
          <w:t>proyectos</w:t>
        </w:r>
      </w:hyperlink>
      <w:r>
        <w:rPr>
          <w:lang w:val="es-ES"/>
        </w:rPr>
        <w:t xml:space="preserve"> de planes, de presupuesto y de contribuciones del FRC son puestos a discusión pública y los comentarios recibidos son divulgados, En la actualidad los pueblos europeos atraviesan una situación especial, producto de la incorporación a los derechos nacionales de las </w:t>
      </w:r>
      <w:r w:rsidR="00C90BB8">
        <w:rPr>
          <w:lang w:val="es-ES"/>
        </w:rPr>
        <w:t xml:space="preserve">nuevas </w:t>
      </w:r>
      <w:r>
        <w:rPr>
          <w:lang w:val="es-ES"/>
        </w:rPr>
        <w:t xml:space="preserve">reglas de auditoría </w:t>
      </w:r>
      <w:r w:rsidR="00C90BB8">
        <w:rPr>
          <w:lang w:val="es-ES"/>
        </w:rPr>
        <w:t>europeas.</w:t>
      </w:r>
      <w:r w:rsidR="00C82F58">
        <w:rPr>
          <w:lang w:val="es-ES"/>
        </w:rPr>
        <w:t xml:space="preserve"> Pocas veces tiene uno la oportunidad de observar las múltiples versiones que se originan en las características culturales de cada pueblo.</w:t>
      </w:r>
    </w:p>
    <w:p w14:paraId="3786DE36" w14:textId="7A4388C0" w:rsidR="00F53E54" w:rsidRDefault="00F53E54" w:rsidP="00627684">
      <w:pPr>
        <w:rPr>
          <w:lang w:val="es-ES"/>
        </w:rPr>
      </w:pPr>
      <w:r>
        <w:rPr>
          <w:lang w:val="es-ES"/>
        </w:rPr>
        <w:t>FRC planea su trabajo en escenarios de tres años. Este tiempo es suficiente para obtener resultados respecto de planes de fondo, evitando la postulación de metas de poco vuelo, como ocurre en las planeaciones anuales. Muchas cosas pueden aprender el CTCP y la JCC del FRC.</w:t>
      </w:r>
    </w:p>
    <w:p w14:paraId="0BE21F0C" w14:textId="5E7C48DA" w:rsidR="00651140" w:rsidRPr="00651140" w:rsidRDefault="00651140" w:rsidP="00651140">
      <w:pPr>
        <w:jc w:val="right"/>
        <w:rPr>
          <w:i/>
          <w:lang w:val="es-ES"/>
        </w:rPr>
      </w:pPr>
      <w:r w:rsidRPr="00651140">
        <w:rPr>
          <w:i/>
          <w:lang w:val="es-ES"/>
        </w:rPr>
        <w:t>Hernando Bermúdez Gómez</w:t>
      </w:r>
    </w:p>
    <w:sectPr w:rsidR="00651140" w:rsidRPr="0065114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3E4DB" w14:textId="77777777" w:rsidR="0073582D" w:rsidRDefault="0073582D" w:rsidP="00EE7812">
      <w:pPr>
        <w:spacing w:after="0" w:line="240" w:lineRule="auto"/>
      </w:pPr>
      <w:r>
        <w:separator/>
      </w:r>
    </w:p>
  </w:endnote>
  <w:endnote w:type="continuationSeparator" w:id="0">
    <w:p w14:paraId="6F4FAD93" w14:textId="77777777" w:rsidR="0073582D" w:rsidRDefault="007358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8B2D2" w14:textId="77777777" w:rsidR="0073582D" w:rsidRDefault="0073582D" w:rsidP="00EE7812">
      <w:pPr>
        <w:spacing w:after="0" w:line="240" w:lineRule="auto"/>
      </w:pPr>
      <w:r>
        <w:separator/>
      </w:r>
    </w:p>
  </w:footnote>
  <w:footnote w:type="continuationSeparator" w:id="0">
    <w:p w14:paraId="695E2B55" w14:textId="77777777" w:rsidR="0073582D" w:rsidRDefault="007358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74608FAE"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32558D">
      <w:t>081</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7358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8FF"/>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AC"/>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82D"/>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61"/>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ilibrary.org/governance/g20-oecd-principles-of-corporate-governance-2015_9789264236882-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c.org.uk/About-the-FRC/Reports-Plans-and-Budge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88D8A-A382-442F-B666-A2B9FE70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2016-05-22T22:44:00Z</dcterms:created>
  <dcterms:modified xsi:type="dcterms:W3CDTF">2016-05-22T22:44:00Z</dcterms:modified>
</cp:coreProperties>
</file>