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04AC0" w14:textId="3718AD23" w:rsidR="007156D2" w:rsidRPr="007156D2" w:rsidRDefault="007156D2" w:rsidP="007156D2">
      <w:pPr>
        <w:keepNext/>
        <w:framePr w:dropCap="drop" w:lines="3" w:wrap="around" w:vAnchor="text" w:hAnchor="text"/>
        <w:spacing w:after="0" w:line="926" w:lineRule="exact"/>
        <w:textAlignment w:val="baseline"/>
        <w:rPr>
          <w:position w:val="-8"/>
          <w:sz w:val="122"/>
        </w:rPr>
      </w:pPr>
      <w:bookmarkStart w:id="0" w:name="_GoBack"/>
      <w:bookmarkEnd w:id="0"/>
      <w:r w:rsidRPr="007156D2">
        <w:rPr>
          <w:position w:val="-8"/>
          <w:sz w:val="122"/>
        </w:rPr>
        <w:t>H</w:t>
      </w:r>
    </w:p>
    <w:p w14:paraId="6A4ADDEC" w14:textId="382DA493" w:rsidR="00202798" w:rsidRDefault="007156D2" w:rsidP="009D1100">
      <w:r>
        <w:t>ay que leer cuanto</w:t>
      </w:r>
      <w:r w:rsidR="007515AC">
        <w:t>s</w:t>
      </w:r>
      <w:r>
        <w:t xml:space="preserve"> informes anuales de los emisores de estándares estén a nuestro alcance, con el objeto de identificar las mejores prácticas de los organismos de normalización. Algunos, como los diseñadores de los grandes ERP, entendieron hace tiempo la importancia de conocer e imitar los comportamientos más desarrollados y eficaces en cada sector de la industria.</w:t>
      </w:r>
      <w:r w:rsidR="007515AC">
        <w:t xml:space="preserve"> No es tarea fácil, puesto que las modas suelen oscurecer la importancia de las verdaderas iniciativas.</w:t>
      </w:r>
    </w:p>
    <w:p w14:paraId="4A0F7CE2" w14:textId="1A69067D" w:rsidR="007515AC" w:rsidRDefault="00734945" w:rsidP="00734945">
      <w:r>
        <w:t xml:space="preserve">En su </w:t>
      </w:r>
      <w:hyperlink r:id="rId8" w:history="1">
        <w:r w:rsidRPr="00734945">
          <w:rPr>
            <w:rStyle w:val="Hipervnculo"/>
          </w:rPr>
          <w:t>reciente informe</w:t>
        </w:r>
      </w:hyperlink>
      <w:r>
        <w:t xml:space="preserve">, FAF anotó: “(…) </w:t>
      </w:r>
      <w:proofErr w:type="spellStart"/>
      <w:r w:rsidRPr="00734945">
        <w:rPr>
          <w:i/>
        </w:rPr>
        <w:t>Some</w:t>
      </w:r>
      <w:proofErr w:type="spellEnd"/>
      <w:r w:rsidRPr="00734945">
        <w:rPr>
          <w:i/>
        </w:rPr>
        <w:t xml:space="preserve"> of </w:t>
      </w:r>
      <w:proofErr w:type="spellStart"/>
      <w:r w:rsidRPr="00734945">
        <w:rPr>
          <w:i/>
        </w:rPr>
        <w:t>the</w:t>
      </w:r>
      <w:proofErr w:type="spellEnd"/>
      <w:r w:rsidRPr="00734945">
        <w:rPr>
          <w:i/>
        </w:rPr>
        <w:t xml:space="preserve"> </w:t>
      </w:r>
      <w:proofErr w:type="spellStart"/>
      <w:r w:rsidRPr="00734945">
        <w:rPr>
          <w:i/>
        </w:rPr>
        <w:t>initiatives</w:t>
      </w:r>
      <w:proofErr w:type="spellEnd"/>
      <w:r w:rsidRPr="00734945">
        <w:rPr>
          <w:i/>
        </w:rPr>
        <w:t xml:space="preserve"> </w:t>
      </w:r>
      <w:proofErr w:type="spellStart"/>
      <w:r w:rsidRPr="00734945">
        <w:rPr>
          <w:i/>
        </w:rPr>
        <w:t>relating</w:t>
      </w:r>
      <w:proofErr w:type="spellEnd"/>
      <w:r w:rsidRPr="00734945">
        <w:rPr>
          <w:i/>
        </w:rPr>
        <w:t xml:space="preserve"> to </w:t>
      </w:r>
      <w:proofErr w:type="spellStart"/>
      <w:r w:rsidRPr="00734945">
        <w:rPr>
          <w:i/>
        </w:rPr>
        <w:t>these</w:t>
      </w:r>
      <w:proofErr w:type="spellEnd"/>
      <w:r w:rsidRPr="00734945">
        <w:rPr>
          <w:i/>
        </w:rPr>
        <w:t xml:space="preserve"> </w:t>
      </w:r>
      <w:proofErr w:type="spellStart"/>
      <w:r w:rsidRPr="00734945">
        <w:rPr>
          <w:i/>
        </w:rPr>
        <w:t>priorities</w:t>
      </w:r>
      <w:proofErr w:type="spellEnd"/>
      <w:r w:rsidRPr="00734945">
        <w:rPr>
          <w:i/>
        </w:rPr>
        <w:t xml:space="preserve"> </w:t>
      </w:r>
      <w:proofErr w:type="spellStart"/>
      <w:r w:rsidRPr="00734945">
        <w:rPr>
          <w:i/>
        </w:rPr>
        <w:t>included</w:t>
      </w:r>
      <w:proofErr w:type="spellEnd"/>
      <w:r w:rsidRPr="00734945">
        <w:rPr>
          <w:i/>
        </w:rPr>
        <w:t xml:space="preserve">: ―• </w:t>
      </w:r>
      <w:proofErr w:type="spellStart"/>
      <w:r w:rsidRPr="00734945">
        <w:rPr>
          <w:i/>
        </w:rPr>
        <w:t>Information</w:t>
      </w:r>
      <w:proofErr w:type="spellEnd"/>
      <w:r w:rsidRPr="00734945">
        <w:rPr>
          <w:i/>
        </w:rPr>
        <w:t xml:space="preserve"> </w:t>
      </w:r>
      <w:proofErr w:type="spellStart"/>
      <w:r w:rsidRPr="00734945">
        <w:rPr>
          <w:i/>
        </w:rPr>
        <w:t>Technology</w:t>
      </w:r>
      <w:proofErr w:type="spellEnd"/>
      <w:r w:rsidRPr="00734945">
        <w:rPr>
          <w:i/>
        </w:rPr>
        <w:t xml:space="preserve"> (IT) </w:t>
      </w:r>
      <w:proofErr w:type="spellStart"/>
      <w:r w:rsidRPr="00734945">
        <w:rPr>
          <w:i/>
        </w:rPr>
        <w:t>assessment</w:t>
      </w:r>
      <w:proofErr w:type="spellEnd"/>
      <w:r w:rsidRPr="00734945">
        <w:rPr>
          <w:i/>
        </w:rPr>
        <w:t xml:space="preserve"> and </w:t>
      </w:r>
      <w:proofErr w:type="spellStart"/>
      <w:r w:rsidRPr="00734945">
        <w:rPr>
          <w:i/>
        </w:rPr>
        <w:t>commencement</w:t>
      </w:r>
      <w:proofErr w:type="spellEnd"/>
      <w:r w:rsidRPr="00734945">
        <w:rPr>
          <w:i/>
        </w:rPr>
        <w:t xml:space="preserve"> of </w:t>
      </w:r>
      <w:proofErr w:type="spellStart"/>
      <w:r w:rsidRPr="00734945">
        <w:rPr>
          <w:i/>
        </w:rPr>
        <w:t>an</w:t>
      </w:r>
      <w:proofErr w:type="spellEnd"/>
      <w:r w:rsidRPr="00734945">
        <w:rPr>
          <w:i/>
        </w:rPr>
        <w:t xml:space="preserve"> IT </w:t>
      </w:r>
      <w:proofErr w:type="spellStart"/>
      <w:r w:rsidRPr="00734945">
        <w:rPr>
          <w:i/>
        </w:rPr>
        <w:t>enhancement</w:t>
      </w:r>
      <w:proofErr w:type="spellEnd"/>
      <w:r w:rsidRPr="00734945">
        <w:rPr>
          <w:i/>
        </w:rPr>
        <w:t xml:space="preserve"> </w:t>
      </w:r>
      <w:proofErr w:type="spellStart"/>
      <w:r w:rsidRPr="00734945">
        <w:rPr>
          <w:i/>
        </w:rPr>
        <w:t>project</w:t>
      </w:r>
      <w:proofErr w:type="spellEnd"/>
      <w:r w:rsidRPr="00734945">
        <w:rPr>
          <w:i/>
        </w:rPr>
        <w:t xml:space="preserve">, </w:t>
      </w:r>
      <w:proofErr w:type="spellStart"/>
      <w:r w:rsidRPr="00734945">
        <w:rPr>
          <w:i/>
        </w:rPr>
        <w:t>which</w:t>
      </w:r>
      <w:proofErr w:type="spellEnd"/>
      <w:r w:rsidRPr="00734945">
        <w:rPr>
          <w:i/>
        </w:rPr>
        <w:t xml:space="preserve"> </w:t>
      </w:r>
      <w:proofErr w:type="spellStart"/>
      <w:r w:rsidRPr="00734945">
        <w:rPr>
          <w:i/>
        </w:rPr>
        <w:t>will</w:t>
      </w:r>
      <w:proofErr w:type="spellEnd"/>
      <w:r w:rsidRPr="00734945">
        <w:rPr>
          <w:i/>
        </w:rPr>
        <w:t xml:space="preserve"> </w:t>
      </w:r>
      <w:proofErr w:type="spellStart"/>
      <w:r w:rsidRPr="00734945">
        <w:rPr>
          <w:i/>
        </w:rPr>
        <w:t>include</w:t>
      </w:r>
      <w:proofErr w:type="spellEnd"/>
      <w:r w:rsidRPr="00734945">
        <w:rPr>
          <w:i/>
        </w:rPr>
        <w:t xml:space="preserve"> </w:t>
      </w:r>
      <w:proofErr w:type="spellStart"/>
      <w:r w:rsidRPr="00734945">
        <w:rPr>
          <w:i/>
        </w:rPr>
        <w:t>the</w:t>
      </w:r>
      <w:proofErr w:type="spellEnd"/>
      <w:r w:rsidRPr="00734945">
        <w:rPr>
          <w:i/>
        </w:rPr>
        <w:t xml:space="preserve"> </w:t>
      </w:r>
      <w:proofErr w:type="spellStart"/>
      <w:r w:rsidRPr="00734945">
        <w:rPr>
          <w:i/>
        </w:rPr>
        <w:t>development</w:t>
      </w:r>
      <w:proofErr w:type="spellEnd"/>
      <w:r w:rsidRPr="00734945">
        <w:rPr>
          <w:i/>
        </w:rPr>
        <w:t xml:space="preserve"> and </w:t>
      </w:r>
      <w:proofErr w:type="spellStart"/>
      <w:r w:rsidRPr="00734945">
        <w:rPr>
          <w:i/>
        </w:rPr>
        <w:t>implementation</w:t>
      </w:r>
      <w:proofErr w:type="spellEnd"/>
      <w:r w:rsidRPr="00734945">
        <w:rPr>
          <w:i/>
        </w:rPr>
        <w:t xml:space="preserve"> of </w:t>
      </w:r>
      <w:proofErr w:type="spellStart"/>
      <w:r w:rsidRPr="00734945">
        <w:rPr>
          <w:i/>
        </w:rPr>
        <w:t>an</w:t>
      </w:r>
      <w:proofErr w:type="spellEnd"/>
      <w:r w:rsidRPr="00734945">
        <w:rPr>
          <w:i/>
        </w:rPr>
        <w:t xml:space="preserve"> </w:t>
      </w:r>
      <w:proofErr w:type="spellStart"/>
      <w:r w:rsidRPr="00734945">
        <w:rPr>
          <w:i/>
        </w:rPr>
        <w:t>enterprise</w:t>
      </w:r>
      <w:proofErr w:type="spellEnd"/>
      <w:r w:rsidRPr="00734945">
        <w:rPr>
          <w:i/>
        </w:rPr>
        <w:t xml:space="preserve"> </w:t>
      </w:r>
      <w:proofErr w:type="spellStart"/>
      <w:r w:rsidRPr="00734945">
        <w:rPr>
          <w:i/>
        </w:rPr>
        <w:t>content</w:t>
      </w:r>
      <w:proofErr w:type="spellEnd"/>
      <w:r w:rsidRPr="00734945">
        <w:rPr>
          <w:i/>
        </w:rPr>
        <w:t xml:space="preserve"> </w:t>
      </w:r>
      <w:proofErr w:type="spellStart"/>
      <w:r w:rsidRPr="00734945">
        <w:rPr>
          <w:i/>
        </w:rPr>
        <w:t>management</w:t>
      </w:r>
      <w:proofErr w:type="spellEnd"/>
      <w:r w:rsidRPr="00734945">
        <w:rPr>
          <w:i/>
        </w:rPr>
        <w:t xml:space="preserve"> </w:t>
      </w:r>
      <w:proofErr w:type="spellStart"/>
      <w:r w:rsidRPr="00734945">
        <w:rPr>
          <w:i/>
        </w:rPr>
        <w:t>system</w:t>
      </w:r>
      <w:proofErr w:type="spellEnd"/>
      <w:r w:rsidRPr="00734945">
        <w:rPr>
          <w:i/>
        </w:rPr>
        <w:t xml:space="preserve"> and </w:t>
      </w:r>
      <w:proofErr w:type="spellStart"/>
      <w:r w:rsidRPr="00734945">
        <w:rPr>
          <w:i/>
        </w:rPr>
        <w:t>stakeholder</w:t>
      </w:r>
      <w:proofErr w:type="spellEnd"/>
      <w:r w:rsidRPr="00734945">
        <w:rPr>
          <w:i/>
        </w:rPr>
        <w:t xml:space="preserve"> </w:t>
      </w:r>
      <w:proofErr w:type="spellStart"/>
      <w:r w:rsidRPr="00734945">
        <w:rPr>
          <w:i/>
        </w:rPr>
        <w:t>relationship</w:t>
      </w:r>
      <w:proofErr w:type="spellEnd"/>
      <w:r w:rsidRPr="00734945">
        <w:rPr>
          <w:i/>
        </w:rPr>
        <w:t xml:space="preserve"> </w:t>
      </w:r>
      <w:proofErr w:type="spellStart"/>
      <w:r w:rsidRPr="00734945">
        <w:rPr>
          <w:i/>
        </w:rPr>
        <w:t>management</w:t>
      </w:r>
      <w:proofErr w:type="spellEnd"/>
      <w:r w:rsidRPr="00734945">
        <w:rPr>
          <w:i/>
        </w:rPr>
        <w:t xml:space="preserve"> </w:t>
      </w:r>
      <w:proofErr w:type="spellStart"/>
      <w:r w:rsidRPr="00734945">
        <w:rPr>
          <w:i/>
        </w:rPr>
        <w:t>system</w:t>
      </w:r>
      <w:proofErr w:type="spellEnd"/>
      <w:r w:rsidRPr="00734945">
        <w:rPr>
          <w:i/>
        </w:rPr>
        <w:t xml:space="preserve">. ―• </w:t>
      </w:r>
      <w:proofErr w:type="spellStart"/>
      <w:r w:rsidRPr="00734945">
        <w:rPr>
          <w:i/>
        </w:rPr>
        <w:t>Additional</w:t>
      </w:r>
      <w:proofErr w:type="spellEnd"/>
      <w:r w:rsidRPr="00734945">
        <w:rPr>
          <w:i/>
        </w:rPr>
        <w:t xml:space="preserve"> </w:t>
      </w:r>
      <w:proofErr w:type="spellStart"/>
      <w:r w:rsidRPr="00734945">
        <w:rPr>
          <w:i/>
        </w:rPr>
        <w:t>staffing</w:t>
      </w:r>
      <w:proofErr w:type="spellEnd"/>
      <w:r w:rsidRPr="00734945">
        <w:rPr>
          <w:i/>
        </w:rPr>
        <w:t xml:space="preserve"> </w:t>
      </w:r>
      <w:proofErr w:type="spellStart"/>
      <w:r w:rsidRPr="00734945">
        <w:rPr>
          <w:i/>
        </w:rPr>
        <w:t>arising</w:t>
      </w:r>
      <w:proofErr w:type="spellEnd"/>
      <w:r w:rsidRPr="00734945">
        <w:rPr>
          <w:i/>
        </w:rPr>
        <w:t xml:space="preserve"> </w:t>
      </w:r>
      <w:proofErr w:type="spellStart"/>
      <w:r w:rsidRPr="00734945">
        <w:rPr>
          <w:i/>
        </w:rPr>
        <w:t>from</w:t>
      </w:r>
      <w:proofErr w:type="spellEnd"/>
      <w:r w:rsidRPr="00734945">
        <w:rPr>
          <w:i/>
        </w:rPr>
        <w:t xml:space="preserve"> </w:t>
      </w:r>
      <w:proofErr w:type="spellStart"/>
      <w:r w:rsidRPr="00734945">
        <w:rPr>
          <w:i/>
        </w:rPr>
        <w:t>the</w:t>
      </w:r>
      <w:proofErr w:type="spellEnd"/>
      <w:r w:rsidRPr="00734945">
        <w:rPr>
          <w:i/>
        </w:rPr>
        <w:t xml:space="preserve"> </w:t>
      </w:r>
      <w:proofErr w:type="spellStart"/>
      <w:r w:rsidRPr="00734945">
        <w:rPr>
          <w:i/>
        </w:rPr>
        <w:t>technical</w:t>
      </w:r>
      <w:proofErr w:type="spellEnd"/>
      <w:r w:rsidRPr="00734945">
        <w:rPr>
          <w:i/>
        </w:rPr>
        <w:t xml:space="preserve"> </w:t>
      </w:r>
      <w:proofErr w:type="spellStart"/>
      <w:r w:rsidRPr="00734945">
        <w:rPr>
          <w:i/>
        </w:rPr>
        <w:t>needs</w:t>
      </w:r>
      <w:proofErr w:type="spellEnd"/>
      <w:r w:rsidRPr="00734945">
        <w:rPr>
          <w:i/>
        </w:rPr>
        <w:t xml:space="preserve"> of </w:t>
      </w:r>
      <w:proofErr w:type="spellStart"/>
      <w:r w:rsidRPr="00734945">
        <w:rPr>
          <w:i/>
        </w:rPr>
        <w:t>the</w:t>
      </w:r>
      <w:proofErr w:type="spellEnd"/>
      <w:r w:rsidRPr="00734945">
        <w:rPr>
          <w:i/>
        </w:rPr>
        <w:t xml:space="preserve"> </w:t>
      </w:r>
      <w:proofErr w:type="spellStart"/>
      <w:r w:rsidRPr="00734945">
        <w:rPr>
          <w:i/>
        </w:rPr>
        <w:t>Standards</w:t>
      </w:r>
      <w:proofErr w:type="spellEnd"/>
      <w:r w:rsidRPr="00734945">
        <w:rPr>
          <w:i/>
        </w:rPr>
        <w:t xml:space="preserve"> </w:t>
      </w:r>
      <w:proofErr w:type="spellStart"/>
      <w:r w:rsidRPr="00734945">
        <w:rPr>
          <w:i/>
        </w:rPr>
        <w:t>Boards</w:t>
      </w:r>
      <w:proofErr w:type="spellEnd"/>
      <w:r w:rsidRPr="00734945">
        <w:rPr>
          <w:i/>
        </w:rPr>
        <w:t xml:space="preserve">, as </w:t>
      </w:r>
      <w:proofErr w:type="spellStart"/>
      <w:r w:rsidRPr="00734945">
        <w:rPr>
          <w:i/>
        </w:rPr>
        <w:t>they</w:t>
      </w:r>
      <w:proofErr w:type="spellEnd"/>
      <w:r w:rsidRPr="00734945">
        <w:rPr>
          <w:i/>
        </w:rPr>
        <w:t xml:space="preserve"> </w:t>
      </w:r>
      <w:proofErr w:type="spellStart"/>
      <w:r w:rsidRPr="00734945">
        <w:rPr>
          <w:i/>
        </w:rPr>
        <w:t>work</w:t>
      </w:r>
      <w:proofErr w:type="spellEnd"/>
      <w:r w:rsidRPr="00734945">
        <w:rPr>
          <w:i/>
        </w:rPr>
        <w:t xml:space="preserve"> </w:t>
      </w:r>
      <w:proofErr w:type="spellStart"/>
      <w:r w:rsidRPr="00734945">
        <w:rPr>
          <w:i/>
        </w:rPr>
        <w:t>toward</w:t>
      </w:r>
      <w:proofErr w:type="spellEnd"/>
      <w:r w:rsidRPr="00734945">
        <w:rPr>
          <w:i/>
        </w:rPr>
        <w:t xml:space="preserve"> </w:t>
      </w:r>
      <w:proofErr w:type="spellStart"/>
      <w:r w:rsidRPr="00734945">
        <w:rPr>
          <w:i/>
        </w:rPr>
        <w:t>their</w:t>
      </w:r>
      <w:proofErr w:type="spellEnd"/>
      <w:r w:rsidRPr="00734945">
        <w:rPr>
          <w:i/>
        </w:rPr>
        <w:t xml:space="preserve"> </w:t>
      </w:r>
      <w:proofErr w:type="spellStart"/>
      <w:r w:rsidRPr="00734945">
        <w:rPr>
          <w:i/>
        </w:rPr>
        <w:t>ongoing</w:t>
      </w:r>
      <w:proofErr w:type="spellEnd"/>
      <w:r w:rsidRPr="00734945">
        <w:rPr>
          <w:i/>
        </w:rPr>
        <w:t xml:space="preserve"> </w:t>
      </w:r>
      <w:proofErr w:type="spellStart"/>
      <w:r w:rsidRPr="00734945">
        <w:rPr>
          <w:i/>
        </w:rPr>
        <w:t>goals</w:t>
      </w:r>
      <w:proofErr w:type="spellEnd"/>
      <w:r w:rsidRPr="00734945">
        <w:rPr>
          <w:i/>
        </w:rPr>
        <w:t xml:space="preserve"> and </w:t>
      </w:r>
      <w:proofErr w:type="spellStart"/>
      <w:r w:rsidRPr="00734945">
        <w:rPr>
          <w:i/>
        </w:rPr>
        <w:t>initiatives</w:t>
      </w:r>
      <w:proofErr w:type="spellEnd"/>
      <w:r w:rsidRPr="00734945">
        <w:rPr>
          <w:i/>
        </w:rPr>
        <w:t xml:space="preserve">. ―• More meetings </w:t>
      </w:r>
      <w:proofErr w:type="spellStart"/>
      <w:r w:rsidRPr="00734945">
        <w:rPr>
          <w:i/>
        </w:rPr>
        <w:t>with</w:t>
      </w:r>
      <w:proofErr w:type="spellEnd"/>
      <w:r w:rsidRPr="00734945">
        <w:rPr>
          <w:i/>
        </w:rPr>
        <w:t xml:space="preserve"> </w:t>
      </w:r>
      <w:proofErr w:type="spellStart"/>
      <w:r w:rsidRPr="00734945">
        <w:rPr>
          <w:i/>
        </w:rPr>
        <w:t>national</w:t>
      </w:r>
      <w:proofErr w:type="spellEnd"/>
      <w:r w:rsidRPr="00734945">
        <w:rPr>
          <w:i/>
        </w:rPr>
        <w:t xml:space="preserve"> standard </w:t>
      </w:r>
      <w:proofErr w:type="spellStart"/>
      <w:r w:rsidRPr="00734945">
        <w:rPr>
          <w:i/>
        </w:rPr>
        <w:t>setters</w:t>
      </w:r>
      <w:proofErr w:type="spellEnd"/>
      <w:r w:rsidRPr="00734945">
        <w:rPr>
          <w:i/>
        </w:rPr>
        <w:t xml:space="preserve"> and </w:t>
      </w:r>
      <w:proofErr w:type="spellStart"/>
      <w:r w:rsidRPr="00734945">
        <w:rPr>
          <w:i/>
        </w:rPr>
        <w:t>other</w:t>
      </w:r>
      <w:proofErr w:type="spellEnd"/>
      <w:r w:rsidRPr="00734945">
        <w:rPr>
          <w:i/>
        </w:rPr>
        <w:t xml:space="preserve"> </w:t>
      </w:r>
      <w:proofErr w:type="spellStart"/>
      <w:r w:rsidRPr="00734945">
        <w:rPr>
          <w:i/>
        </w:rPr>
        <w:t>international</w:t>
      </w:r>
      <w:proofErr w:type="spellEnd"/>
      <w:r w:rsidRPr="00734945">
        <w:rPr>
          <w:i/>
        </w:rPr>
        <w:t xml:space="preserve"> </w:t>
      </w:r>
      <w:proofErr w:type="spellStart"/>
      <w:r w:rsidRPr="00734945">
        <w:rPr>
          <w:i/>
        </w:rPr>
        <w:t>regulators</w:t>
      </w:r>
      <w:proofErr w:type="spellEnd"/>
      <w:r w:rsidRPr="00734945">
        <w:rPr>
          <w:i/>
        </w:rPr>
        <w:t xml:space="preserve"> and </w:t>
      </w:r>
      <w:proofErr w:type="spellStart"/>
      <w:r w:rsidRPr="00734945">
        <w:rPr>
          <w:i/>
        </w:rPr>
        <w:t>stakeholders</w:t>
      </w:r>
      <w:proofErr w:type="spellEnd"/>
      <w:r w:rsidRPr="00734945">
        <w:rPr>
          <w:i/>
        </w:rPr>
        <w:t xml:space="preserve">. ―• </w:t>
      </w:r>
      <w:proofErr w:type="spellStart"/>
      <w:r w:rsidRPr="00734945">
        <w:rPr>
          <w:i/>
        </w:rPr>
        <w:t>Enhanced</w:t>
      </w:r>
      <w:proofErr w:type="spellEnd"/>
      <w:r w:rsidRPr="00734945">
        <w:rPr>
          <w:i/>
        </w:rPr>
        <w:t xml:space="preserve"> </w:t>
      </w:r>
      <w:proofErr w:type="spellStart"/>
      <w:r w:rsidRPr="00734945">
        <w:rPr>
          <w:i/>
        </w:rPr>
        <w:t>professional</w:t>
      </w:r>
      <w:proofErr w:type="spellEnd"/>
      <w:r w:rsidRPr="00734945">
        <w:rPr>
          <w:i/>
        </w:rPr>
        <w:t xml:space="preserve">, </w:t>
      </w:r>
      <w:proofErr w:type="spellStart"/>
      <w:r w:rsidRPr="00734945">
        <w:rPr>
          <w:i/>
        </w:rPr>
        <w:t>leadership</w:t>
      </w:r>
      <w:proofErr w:type="spellEnd"/>
      <w:r w:rsidRPr="00734945">
        <w:rPr>
          <w:i/>
        </w:rPr>
        <w:t xml:space="preserve"> </w:t>
      </w:r>
      <w:proofErr w:type="spellStart"/>
      <w:r w:rsidRPr="00734945">
        <w:rPr>
          <w:i/>
        </w:rPr>
        <w:t>development</w:t>
      </w:r>
      <w:proofErr w:type="spellEnd"/>
      <w:r w:rsidRPr="00734945">
        <w:rPr>
          <w:i/>
        </w:rPr>
        <w:t xml:space="preserve">, and </w:t>
      </w:r>
      <w:proofErr w:type="spellStart"/>
      <w:r w:rsidRPr="00734945">
        <w:rPr>
          <w:i/>
        </w:rPr>
        <w:t>diversity</w:t>
      </w:r>
      <w:proofErr w:type="spellEnd"/>
      <w:r w:rsidRPr="00734945">
        <w:rPr>
          <w:i/>
        </w:rPr>
        <w:t xml:space="preserve"> </w:t>
      </w:r>
      <w:proofErr w:type="spellStart"/>
      <w:r w:rsidRPr="00734945">
        <w:rPr>
          <w:i/>
        </w:rPr>
        <w:t>initiatives</w:t>
      </w:r>
      <w:proofErr w:type="spellEnd"/>
      <w:r w:rsidRPr="00734945">
        <w:rPr>
          <w:i/>
        </w:rPr>
        <w:t>.</w:t>
      </w:r>
      <w:r>
        <w:t xml:space="preserve"> (…)”.</w:t>
      </w:r>
    </w:p>
    <w:p w14:paraId="54D9DAB6" w14:textId="51F99429" w:rsidR="002858C5" w:rsidRDefault="002858C5" w:rsidP="00734945">
      <w:r>
        <w:t xml:space="preserve">En nuestro país no ha sido posible que el Ministerio de Comercio, Industria y Turismo y el Consejo Técnico de la Contaduría Pública, presenten un adecuado </w:t>
      </w:r>
      <w:hyperlink r:id="rId9" w:history="1">
        <w:r w:rsidRPr="00531A63">
          <w:rPr>
            <w:rStyle w:val="Hipervnculo"/>
          </w:rPr>
          <w:t>informe</w:t>
        </w:r>
      </w:hyperlink>
      <w:r>
        <w:t xml:space="preserve"> de labores y un </w:t>
      </w:r>
      <w:hyperlink r:id="rId10" w:history="1">
        <w:r w:rsidRPr="00531A63">
          <w:rPr>
            <w:rStyle w:val="Hipervnculo"/>
          </w:rPr>
          <w:t>plan</w:t>
        </w:r>
      </w:hyperlink>
      <w:r>
        <w:t xml:space="preserve"> que considere estrategias para mejorar la realización de las tareas que les asigna la </w:t>
      </w:r>
      <w:hyperlink r:id="rId11" w:history="1">
        <w:r w:rsidRPr="002858C5">
          <w:rPr>
            <w:rStyle w:val="Hipervnculo"/>
          </w:rPr>
          <w:t>Ley 1314 de 2009</w:t>
        </w:r>
      </w:hyperlink>
      <w:r>
        <w:t>.</w:t>
      </w:r>
    </w:p>
    <w:p w14:paraId="344FD0FE" w14:textId="3E883C8C" w:rsidR="007D3367" w:rsidRDefault="007D3367" w:rsidP="00734945">
      <w:r>
        <w:t xml:space="preserve">Aún no es claro qué nivel de importancia tiene el CTCP para las autoridades reguladoras. Basta ver cómo han pasado 5 meses sin que el Ministerio de Hacienda y Crédito Público haya designado el miembro </w:t>
      </w:r>
      <w:hyperlink r:id="rId12" w:history="1">
        <w:r w:rsidRPr="007D3367">
          <w:rPr>
            <w:rStyle w:val="Hipervnculo"/>
          </w:rPr>
          <w:t>cuya nominación le compete</w:t>
        </w:r>
      </w:hyperlink>
      <w:r>
        <w:t xml:space="preserve">. </w:t>
      </w:r>
    </w:p>
    <w:p w14:paraId="0B87A439" w14:textId="1E5F3B23" w:rsidR="007D3367" w:rsidRDefault="007D3367" w:rsidP="00734945">
      <w:r>
        <w:t>No obstante, según lo que se sabe, parece claro que el CTCP no cuenta con la infraestructura y los recursos necesarios para ser un normalizador de primer orden.</w:t>
      </w:r>
      <w:r w:rsidR="000D567C">
        <w:t xml:space="preserve"> Hay muchas cuestiones sobre las cuales debería sentar posiciones, para lo cual debería tener una gran capacidad de investigación y de relacionamiento con otros emisores de estándares, especialmente los que lideran esta actividad a nivel mundial.</w:t>
      </w:r>
    </w:p>
    <w:p w14:paraId="6EBF47B2" w14:textId="0A7EBD8A" w:rsidR="00531A63" w:rsidRDefault="00531A63" w:rsidP="00734945">
      <w:r>
        <w:t>Si, como se ha propuesto, el nuevo impuesto sobre las utilidades empresariales, tendría como punto de partida la utilidad contable, tendremos que todo cambio en las normas de contabilidad e información financiera tendría efectos en la determinación de la base gravable. Esto necesariamente implicaría repensar el ámbito de las reflexiones del CTCP, si es que superamos la discusión sobre la procedencia legal de tales bases. Por otro lado, ya llega la hora de hacer evaluaciones luego de la puesta en vigencia. Habrá que organizar las observaciones de las superintendencias y de otras entidades, como la Contaduría General de la Nación, algunos ministerios y la DIAN. Seguramente habrá que hacer inspecciones complementarias. Todo esto supone recursos que no se tienen.</w:t>
      </w:r>
    </w:p>
    <w:p w14:paraId="28ACDBF3" w14:textId="537690CA" w:rsidR="00531A63" w:rsidRPr="00531A63" w:rsidRDefault="00531A63" w:rsidP="00531A63">
      <w:pPr>
        <w:jc w:val="right"/>
        <w:rPr>
          <w:i/>
        </w:rPr>
      </w:pPr>
      <w:r w:rsidRPr="00531A63">
        <w:rPr>
          <w:i/>
        </w:rPr>
        <w:t>Hernando Bermúdez Gómez</w:t>
      </w:r>
    </w:p>
    <w:sectPr w:rsidR="00531A63" w:rsidRPr="00531A63"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0CEDF" w14:textId="77777777" w:rsidR="00427E1B" w:rsidRDefault="00427E1B" w:rsidP="00EE7812">
      <w:pPr>
        <w:spacing w:after="0" w:line="240" w:lineRule="auto"/>
      </w:pPr>
      <w:r>
        <w:separator/>
      </w:r>
    </w:p>
  </w:endnote>
  <w:endnote w:type="continuationSeparator" w:id="0">
    <w:p w14:paraId="5E8BBD48" w14:textId="77777777" w:rsidR="00427E1B" w:rsidRDefault="00427E1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E85EA" w14:textId="77777777" w:rsidR="00427E1B" w:rsidRDefault="00427E1B" w:rsidP="00EE7812">
      <w:pPr>
        <w:spacing w:after="0" w:line="240" w:lineRule="auto"/>
      </w:pPr>
      <w:r>
        <w:separator/>
      </w:r>
    </w:p>
  </w:footnote>
  <w:footnote w:type="continuationSeparator" w:id="0">
    <w:p w14:paraId="2CEC028C" w14:textId="77777777" w:rsidR="00427E1B" w:rsidRDefault="00427E1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3FB797D" w:rsidR="00C04001" w:rsidRDefault="00C04001" w:rsidP="00613BC8">
    <w:pPr>
      <w:pStyle w:val="Encabezado"/>
      <w:tabs>
        <w:tab w:val="left" w:pos="2580"/>
        <w:tab w:val="left" w:pos="2985"/>
      </w:tabs>
      <w:spacing w:line="276" w:lineRule="auto"/>
      <w:jc w:val="right"/>
    </w:pPr>
    <w:r>
      <w:t>Número 2</w:t>
    </w:r>
    <w:r w:rsidR="009D1100">
      <w:t>109</w:t>
    </w:r>
    <w:r>
      <w:t>, junio 6 de 2016</w:t>
    </w:r>
  </w:p>
  <w:p w14:paraId="29566F03" w14:textId="77777777" w:rsidR="00C04001" w:rsidRDefault="00427E1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CF0"/>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2A2"/>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1B"/>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2A"/>
    <w:rsid w:val="00895694"/>
    <w:rsid w:val="0089581E"/>
    <w:rsid w:val="00895848"/>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C7"/>
    <w:rsid w:val="008A055F"/>
    <w:rsid w:val="008A07D3"/>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334"/>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ountingfoundation.org/cs/ContentServer?c=Document_C&amp;pagename=Foundation%2FDocument_C%2FFAFDocumentPage&amp;cid=117616815994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veriana.edu.co/personales/hbermude/leycontable/contadores/2010-decreto-69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2009-ley-131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tcp.gov.co/athena/ctcp/info_plan.php?DOCS_TOPIC=17" TargetMode="External"/><Relationship Id="rId4" Type="http://schemas.openxmlformats.org/officeDocument/2006/relationships/settings" Target="settings.xml"/><Relationship Id="rId9" Type="http://schemas.openxmlformats.org/officeDocument/2006/relationships/hyperlink" Target="http://www.ctcp.gov.co/includes/tng/pub/tNG_download4.php?KT_download1=83d79e1037983ddd47588913e65d0f5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5D137-6EBA-4FFA-9805-1ECAD739A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2890</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2016-06-03T21:24:00Z</dcterms:created>
  <dcterms:modified xsi:type="dcterms:W3CDTF">2016-06-03T21:24:00Z</dcterms:modified>
</cp:coreProperties>
</file>