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011C0" w14:textId="69220547" w:rsidR="00994234" w:rsidRPr="00994234" w:rsidRDefault="00994234" w:rsidP="00994234">
      <w:pPr>
        <w:keepNext/>
        <w:framePr w:dropCap="drop" w:lines="3" w:wrap="around" w:vAnchor="text" w:hAnchor="text"/>
        <w:spacing w:after="0" w:line="926" w:lineRule="exact"/>
        <w:textAlignment w:val="baseline"/>
        <w:rPr>
          <w:position w:val="-8"/>
          <w:sz w:val="123"/>
        </w:rPr>
      </w:pPr>
      <w:bookmarkStart w:id="0" w:name="_GoBack"/>
      <w:bookmarkEnd w:id="0"/>
      <w:r w:rsidRPr="00994234">
        <w:rPr>
          <w:position w:val="-8"/>
          <w:sz w:val="123"/>
        </w:rPr>
        <w:t>M</w:t>
      </w:r>
    </w:p>
    <w:p w14:paraId="45E44086" w14:textId="0B23C00C" w:rsidR="00750FD3" w:rsidRDefault="00994234" w:rsidP="00171073">
      <w:r>
        <w:t>ás de un proceso disciplinario ha tenido como fundamento diferencias informativas a una misma fecha. Siempre hemos señalado que cada formato implica un conjunto de instrucciones que determinan la información, algunas de las cuales no coinciden con las que forman parte de los principios de contabilidad generalmente aceptados.</w:t>
      </w:r>
      <w:r w:rsidR="00750823">
        <w:t xml:space="preserve"> Muchos informes con propósito especial se construyen a partir de modificaciones a tales principios.</w:t>
      </w:r>
      <w:r w:rsidR="00A06E4A">
        <w:t xml:space="preserve"> Varias veces hemos ilustrado la situación que se presenta por virtud de la regulación prudencial.</w:t>
      </w:r>
    </w:p>
    <w:p w14:paraId="58D3739F" w14:textId="12962892" w:rsidR="00A6750A" w:rsidRDefault="00A6750A" w:rsidP="00171073">
      <w:r>
        <w:t>Tiempo atrás muchos han planteado que debería haber una central de información, de la cual las distintas autoridades tomaran los datos de su interés, para someterlos a los procedimientos que en cada caso juzguen necesarios. Un gran paso, frustrado, fue la orden de depositar los estados financieros en las Cámaras de Comercio.</w:t>
      </w:r>
      <w:r w:rsidR="002941AF">
        <w:t xml:space="preserve"> Ahora vemos con claridad que el uso de la herramienta XBRL permitiría crear una bodega de datos con grandes ventajas para el manejo de la información. Pensamos que la </w:t>
      </w:r>
      <w:hyperlink r:id="rId8" w:history="1">
        <w:r w:rsidR="002941AF" w:rsidRPr="002941AF">
          <w:rPr>
            <w:rStyle w:val="Hipervnculo"/>
          </w:rPr>
          <w:t>Ley 1314 de 2009</w:t>
        </w:r>
      </w:hyperlink>
      <w:r w:rsidR="002941AF">
        <w:t xml:space="preserve"> faculta suficientemente al Gobierno para intervenir en materia de documentación electrónica.</w:t>
      </w:r>
    </w:p>
    <w:p w14:paraId="79C41DD4" w14:textId="5DABB57F" w:rsidR="00DB7075" w:rsidRDefault="002941AF" w:rsidP="00DB7075">
      <w:r>
        <w:t>En nuestro país son muy pocas las fuentes de información disponibles, desconocidas por la mayoría de personas. Salvo la información del sector gobierno que es pública, es muy difícil conseguir datos de ciertas empresas. Algunas entidades ofrecen bases de datos construidas a partir de datos públicos administrados por autoridades.</w:t>
      </w:r>
      <w:r w:rsidR="00DC67A9">
        <w:t xml:space="preserve"> En cambio, en otros lugares, empresas altamente </w:t>
      </w:r>
      <w:r w:rsidR="00DC67A9">
        <w:t>especializadas ofrecen al público robustas herramientas para análisis empresarial, que han alcanzado un gran reconocimiento y que son muy utilizadas por analistas e investigadores.</w:t>
      </w:r>
      <w:r w:rsidR="00951C3D">
        <w:t xml:space="preserve"> Un ejemplo es </w:t>
      </w:r>
      <w:hyperlink r:id="rId9" w:history="1">
        <w:proofErr w:type="spellStart"/>
        <w:r w:rsidR="00951C3D" w:rsidRPr="00951C3D">
          <w:rPr>
            <w:rStyle w:val="Hipervnculo"/>
          </w:rPr>
          <w:t>Compustat</w:t>
        </w:r>
        <w:proofErr w:type="spellEnd"/>
        <w:r w:rsidR="00951C3D" w:rsidRPr="00951C3D">
          <w:rPr>
            <w:rStyle w:val="Hipervnculo"/>
          </w:rPr>
          <w:t xml:space="preserve"> </w:t>
        </w:r>
        <w:proofErr w:type="spellStart"/>
        <w:r w:rsidR="00951C3D" w:rsidRPr="00951C3D">
          <w:rPr>
            <w:rStyle w:val="Hipervnculo"/>
          </w:rPr>
          <w:t>Research</w:t>
        </w:r>
        <w:proofErr w:type="spellEnd"/>
        <w:r w:rsidR="00951C3D" w:rsidRPr="00951C3D">
          <w:rPr>
            <w:rStyle w:val="Hipervnculo"/>
          </w:rPr>
          <w:t xml:space="preserve"> </w:t>
        </w:r>
        <w:proofErr w:type="spellStart"/>
        <w:r w:rsidR="00951C3D" w:rsidRPr="00951C3D">
          <w:rPr>
            <w:rStyle w:val="Hipervnculo"/>
          </w:rPr>
          <w:t>Insight</w:t>
        </w:r>
        <w:proofErr w:type="spellEnd"/>
      </w:hyperlink>
      <w:r w:rsidR="00951C3D">
        <w:t xml:space="preserve">, de </w:t>
      </w:r>
      <w:r w:rsidR="00951C3D" w:rsidRPr="00951C3D">
        <w:t xml:space="preserve">S&amp;P Global </w:t>
      </w:r>
      <w:proofErr w:type="spellStart"/>
      <w:r w:rsidR="00951C3D" w:rsidRPr="00951C3D">
        <w:t>Market</w:t>
      </w:r>
      <w:proofErr w:type="spellEnd"/>
      <w:r w:rsidR="00951C3D">
        <w:t>.</w:t>
      </w:r>
      <w:r w:rsidR="00DB7075">
        <w:t xml:space="preserve"> Debido a la importancia de la herramienta ella misma ha sido objeto de estudio. Eric D. </w:t>
      </w:r>
      <w:proofErr w:type="spellStart"/>
      <w:r w:rsidR="00DB7075">
        <w:t>Bostwick</w:t>
      </w:r>
      <w:proofErr w:type="spellEnd"/>
      <w:r w:rsidR="00DB7075">
        <w:t xml:space="preserve">, </w:t>
      </w:r>
      <w:proofErr w:type="spellStart"/>
      <w:r w:rsidR="00DB7075">
        <w:t>Sherwood</w:t>
      </w:r>
      <w:proofErr w:type="spellEnd"/>
      <w:r w:rsidR="00DB7075">
        <w:t xml:space="preserve"> </w:t>
      </w:r>
      <w:proofErr w:type="spellStart"/>
      <w:r w:rsidR="00DB7075">
        <w:t>Lane</w:t>
      </w:r>
      <w:proofErr w:type="spellEnd"/>
      <w:r w:rsidR="00DB7075">
        <w:t xml:space="preserve"> Lambert y Joseph G. </w:t>
      </w:r>
      <w:proofErr w:type="spellStart"/>
      <w:r w:rsidR="00DB7075">
        <w:t>Donelan</w:t>
      </w:r>
      <w:proofErr w:type="spellEnd"/>
      <w:r w:rsidR="00DB7075">
        <w:t xml:space="preserve"> señalaron: “(…) </w:t>
      </w:r>
      <w:r w:rsidR="00DB7075" w:rsidRPr="00DB7075">
        <w:rPr>
          <w:i/>
        </w:rPr>
        <w:t xml:space="preserve">Standard &amp; </w:t>
      </w:r>
      <w:proofErr w:type="spellStart"/>
      <w:r w:rsidR="00DB7075" w:rsidRPr="00DB7075">
        <w:rPr>
          <w:i/>
        </w:rPr>
        <w:t>Poor’s</w:t>
      </w:r>
      <w:proofErr w:type="spellEnd"/>
      <w:r w:rsidR="00DB7075" w:rsidRPr="00DB7075">
        <w:rPr>
          <w:i/>
        </w:rPr>
        <w:t xml:space="preserve"> (S&amp;P) </w:t>
      </w:r>
      <w:proofErr w:type="spellStart"/>
      <w:r w:rsidR="00DB7075" w:rsidRPr="00DB7075">
        <w:rPr>
          <w:i/>
        </w:rPr>
        <w:t>Compustat</w:t>
      </w:r>
      <w:proofErr w:type="spellEnd"/>
      <w:r w:rsidR="00DB7075" w:rsidRPr="00DB7075">
        <w:rPr>
          <w:i/>
        </w:rPr>
        <w:t xml:space="preserve"> </w:t>
      </w:r>
      <w:proofErr w:type="spellStart"/>
      <w:r w:rsidR="00DB7075" w:rsidRPr="00DB7075">
        <w:rPr>
          <w:i/>
        </w:rPr>
        <w:t>database</w:t>
      </w:r>
      <w:proofErr w:type="spellEnd"/>
      <w:r w:rsidR="00DB7075" w:rsidRPr="00DB7075">
        <w:rPr>
          <w:i/>
        </w:rPr>
        <w:t xml:space="preserve"> </w:t>
      </w:r>
      <w:proofErr w:type="spellStart"/>
      <w:r w:rsidR="00DB7075" w:rsidRPr="00DB7075">
        <w:rPr>
          <w:i/>
        </w:rPr>
        <w:t>is</w:t>
      </w:r>
      <w:proofErr w:type="spellEnd"/>
      <w:r w:rsidR="00DB7075" w:rsidRPr="00DB7075">
        <w:rPr>
          <w:i/>
        </w:rPr>
        <w:t xml:space="preserve"> </w:t>
      </w:r>
      <w:proofErr w:type="spellStart"/>
      <w:r w:rsidR="00DB7075" w:rsidRPr="00DB7075">
        <w:rPr>
          <w:i/>
        </w:rPr>
        <w:t>used</w:t>
      </w:r>
      <w:proofErr w:type="spellEnd"/>
      <w:r w:rsidR="00DB7075" w:rsidRPr="00DB7075">
        <w:rPr>
          <w:i/>
        </w:rPr>
        <w:t xml:space="preserve"> </w:t>
      </w:r>
      <w:proofErr w:type="spellStart"/>
      <w:r w:rsidR="00DB7075" w:rsidRPr="00DB7075">
        <w:rPr>
          <w:i/>
        </w:rPr>
        <w:t>extensively</w:t>
      </w:r>
      <w:proofErr w:type="spellEnd"/>
      <w:r w:rsidR="00DB7075" w:rsidRPr="00DB7075">
        <w:rPr>
          <w:i/>
        </w:rPr>
        <w:t xml:space="preserve"> </w:t>
      </w:r>
      <w:proofErr w:type="spellStart"/>
      <w:r w:rsidR="00DB7075" w:rsidRPr="00DB7075">
        <w:rPr>
          <w:i/>
        </w:rPr>
        <w:t>for</w:t>
      </w:r>
      <w:proofErr w:type="spellEnd"/>
      <w:r w:rsidR="00DB7075" w:rsidRPr="00DB7075">
        <w:rPr>
          <w:i/>
        </w:rPr>
        <w:t xml:space="preserve"> </w:t>
      </w:r>
      <w:proofErr w:type="spellStart"/>
      <w:r w:rsidR="00DB7075" w:rsidRPr="00DB7075">
        <w:rPr>
          <w:i/>
        </w:rPr>
        <w:t>both</w:t>
      </w:r>
      <w:proofErr w:type="spellEnd"/>
      <w:r w:rsidR="00DB7075" w:rsidRPr="00DB7075">
        <w:rPr>
          <w:i/>
        </w:rPr>
        <w:t xml:space="preserve"> </w:t>
      </w:r>
      <w:proofErr w:type="spellStart"/>
      <w:r w:rsidR="00DB7075" w:rsidRPr="00DB7075">
        <w:rPr>
          <w:i/>
        </w:rPr>
        <w:t>academic</w:t>
      </w:r>
      <w:proofErr w:type="spellEnd"/>
      <w:r w:rsidR="00DB7075" w:rsidRPr="00DB7075">
        <w:rPr>
          <w:i/>
        </w:rPr>
        <w:t xml:space="preserve"> and </w:t>
      </w:r>
      <w:proofErr w:type="spellStart"/>
      <w:r w:rsidR="00DB7075" w:rsidRPr="00DB7075">
        <w:rPr>
          <w:i/>
        </w:rPr>
        <w:t>practitioner</w:t>
      </w:r>
      <w:proofErr w:type="spellEnd"/>
      <w:r w:rsidR="00DB7075" w:rsidRPr="00DB7075">
        <w:rPr>
          <w:i/>
        </w:rPr>
        <w:t xml:space="preserve"> </w:t>
      </w:r>
      <w:proofErr w:type="spellStart"/>
      <w:r w:rsidR="00DB7075" w:rsidRPr="00DB7075">
        <w:rPr>
          <w:i/>
        </w:rPr>
        <w:t>research</w:t>
      </w:r>
      <w:proofErr w:type="spellEnd"/>
      <w:r w:rsidR="00DB7075" w:rsidRPr="00DB7075">
        <w:rPr>
          <w:i/>
        </w:rPr>
        <w:t xml:space="preserve">. </w:t>
      </w:r>
      <w:proofErr w:type="spellStart"/>
      <w:r w:rsidR="00DB7075" w:rsidRPr="00DB7075">
        <w:rPr>
          <w:i/>
        </w:rPr>
        <w:t>Compustat</w:t>
      </w:r>
      <w:proofErr w:type="spellEnd"/>
      <w:r w:rsidR="00DB7075" w:rsidRPr="00DB7075">
        <w:rPr>
          <w:i/>
        </w:rPr>
        <w:t xml:space="preserve"> </w:t>
      </w:r>
      <w:proofErr w:type="spellStart"/>
      <w:r w:rsidR="00DB7075" w:rsidRPr="00DB7075">
        <w:rPr>
          <w:i/>
        </w:rPr>
        <w:t>applies</w:t>
      </w:r>
      <w:proofErr w:type="spellEnd"/>
      <w:r w:rsidR="00DB7075" w:rsidRPr="00DB7075">
        <w:rPr>
          <w:i/>
        </w:rPr>
        <w:t xml:space="preserve"> </w:t>
      </w:r>
      <w:proofErr w:type="spellStart"/>
      <w:r w:rsidR="00DB7075" w:rsidRPr="00DB7075">
        <w:rPr>
          <w:i/>
        </w:rPr>
        <w:t>proprietary</w:t>
      </w:r>
      <w:proofErr w:type="spellEnd"/>
      <w:r w:rsidR="00DB7075" w:rsidRPr="00DB7075">
        <w:rPr>
          <w:i/>
        </w:rPr>
        <w:t xml:space="preserve"> </w:t>
      </w:r>
      <w:proofErr w:type="spellStart"/>
      <w:r w:rsidR="00DB7075" w:rsidRPr="00DB7075">
        <w:rPr>
          <w:i/>
        </w:rPr>
        <w:t>standardization</w:t>
      </w:r>
      <w:proofErr w:type="spellEnd"/>
      <w:r w:rsidR="00DB7075" w:rsidRPr="00DB7075">
        <w:rPr>
          <w:i/>
        </w:rPr>
        <w:t xml:space="preserve"> </w:t>
      </w:r>
      <w:proofErr w:type="spellStart"/>
      <w:r w:rsidR="00DB7075" w:rsidRPr="00DB7075">
        <w:rPr>
          <w:i/>
        </w:rPr>
        <w:t>methods</w:t>
      </w:r>
      <w:proofErr w:type="spellEnd"/>
      <w:r w:rsidR="00DB7075" w:rsidRPr="00DB7075">
        <w:rPr>
          <w:i/>
        </w:rPr>
        <w:t xml:space="preserve"> to </w:t>
      </w:r>
      <w:proofErr w:type="spellStart"/>
      <w:r w:rsidR="00DB7075" w:rsidRPr="00DB7075">
        <w:rPr>
          <w:i/>
        </w:rPr>
        <w:t>the</w:t>
      </w:r>
      <w:proofErr w:type="spellEnd"/>
      <w:r w:rsidR="00DB7075" w:rsidRPr="00DB7075">
        <w:rPr>
          <w:i/>
        </w:rPr>
        <w:t xml:space="preserve"> 10-K data </w:t>
      </w:r>
      <w:proofErr w:type="spellStart"/>
      <w:r w:rsidR="00DB7075" w:rsidRPr="00DB7075">
        <w:rPr>
          <w:i/>
        </w:rPr>
        <w:t>that</w:t>
      </w:r>
      <w:proofErr w:type="spellEnd"/>
      <w:r w:rsidR="00DB7075" w:rsidRPr="00DB7075">
        <w:rPr>
          <w:i/>
        </w:rPr>
        <w:t xml:space="preserve"> can </w:t>
      </w:r>
      <w:proofErr w:type="spellStart"/>
      <w:r w:rsidR="00DB7075" w:rsidRPr="00DB7075">
        <w:rPr>
          <w:i/>
        </w:rPr>
        <w:t>create</w:t>
      </w:r>
      <w:proofErr w:type="spellEnd"/>
      <w:r w:rsidR="00DB7075" w:rsidRPr="00DB7075">
        <w:rPr>
          <w:i/>
        </w:rPr>
        <w:t xml:space="preserve"> </w:t>
      </w:r>
      <w:proofErr w:type="spellStart"/>
      <w:r w:rsidR="00DB7075" w:rsidRPr="00DB7075">
        <w:rPr>
          <w:i/>
        </w:rPr>
        <w:t>significant</w:t>
      </w:r>
      <w:proofErr w:type="spellEnd"/>
      <w:r w:rsidR="00DB7075" w:rsidRPr="00DB7075">
        <w:rPr>
          <w:i/>
        </w:rPr>
        <w:t xml:space="preserve"> </w:t>
      </w:r>
      <w:proofErr w:type="spellStart"/>
      <w:r w:rsidR="00DB7075" w:rsidRPr="00DB7075">
        <w:rPr>
          <w:i/>
        </w:rPr>
        <w:t>differences</w:t>
      </w:r>
      <w:proofErr w:type="spellEnd"/>
      <w:r w:rsidR="00DB7075" w:rsidRPr="00DB7075">
        <w:rPr>
          <w:i/>
        </w:rPr>
        <w:t xml:space="preserve"> </w:t>
      </w:r>
      <w:proofErr w:type="spellStart"/>
      <w:r w:rsidR="00DB7075" w:rsidRPr="00DB7075">
        <w:rPr>
          <w:i/>
        </w:rPr>
        <w:t>between</w:t>
      </w:r>
      <w:proofErr w:type="spellEnd"/>
      <w:r w:rsidR="00DB7075" w:rsidRPr="00DB7075">
        <w:rPr>
          <w:i/>
        </w:rPr>
        <w:t xml:space="preserve"> </w:t>
      </w:r>
      <w:proofErr w:type="spellStart"/>
      <w:r w:rsidR="00DB7075" w:rsidRPr="00DB7075">
        <w:rPr>
          <w:i/>
        </w:rPr>
        <w:t>the</w:t>
      </w:r>
      <w:proofErr w:type="spellEnd"/>
      <w:r w:rsidR="00DB7075" w:rsidRPr="00DB7075">
        <w:rPr>
          <w:i/>
        </w:rPr>
        <w:t xml:space="preserve"> </w:t>
      </w:r>
      <w:proofErr w:type="spellStart"/>
      <w:r w:rsidR="00DB7075" w:rsidRPr="00DB7075">
        <w:rPr>
          <w:i/>
        </w:rPr>
        <w:t>underlying</w:t>
      </w:r>
      <w:proofErr w:type="spellEnd"/>
      <w:r w:rsidR="00DB7075" w:rsidRPr="00DB7075">
        <w:rPr>
          <w:i/>
        </w:rPr>
        <w:t xml:space="preserve"> 10-K data and </w:t>
      </w:r>
      <w:proofErr w:type="spellStart"/>
      <w:r w:rsidR="00DB7075" w:rsidRPr="00DB7075">
        <w:rPr>
          <w:i/>
        </w:rPr>
        <w:t>the</w:t>
      </w:r>
      <w:proofErr w:type="spellEnd"/>
      <w:r w:rsidR="00DB7075" w:rsidRPr="00DB7075">
        <w:rPr>
          <w:i/>
        </w:rPr>
        <w:t xml:space="preserve"> </w:t>
      </w:r>
      <w:proofErr w:type="spellStart"/>
      <w:r w:rsidR="00DB7075" w:rsidRPr="00DB7075">
        <w:rPr>
          <w:i/>
        </w:rPr>
        <w:t>database</w:t>
      </w:r>
      <w:proofErr w:type="spellEnd"/>
      <w:r w:rsidR="00DB7075" w:rsidRPr="00DB7075">
        <w:rPr>
          <w:i/>
        </w:rPr>
        <w:t xml:space="preserve"> variables, </w:t>
      </w:r>
      <w:proofErr w:type="spellStart"/>
      <w:r w:rsidR="00DB7075" w:rsidRPr="00DB7075">
        <w:rPr>
          <w:i/>
        </w:rPr>
        <w:t>particularly</w:t>
      </w:r>
      <w:proofErr w:type="spellEnd"/>
      <w:r w:rsidR="00DB7075" w:rsidRPr="00DB7075">
        <w:rPr>
          <w:i/>
        </w:rPr>
        <w:t xml:space="preserve"> </w:t>
      </w:r>
      <w:proofErr w:type="spellStart"/>
      <w:r w:rsidR="00DB7075" w:rsidRPr="00DB7075">
        <w:rPr>
          <w:i/>
        </w:rPr>
        <w:t>with</w:t>
      </w:r>
      <w:proofErr w:type="spellEnd"/>
      <w:r w:rsidR="00DB7075" w:rsidRPr="00DB7075">
        <w:rPr>
          <w:i/>
        </w:rPr>
        <w:t xml:space="preserve"> </w:t>
      </w:r>
      <w:proofErr w:type="spellStart"/>
      <w:r w:rsidR="00DB7075" w:rsidRPr="00DB7075">
        <w:rPr>
          <w:i/>
        </w:rPr>
        <w:t>regard</w:t>
      </w:r>
      <w:proofErr w:type="spellEnd"/>
      <w:r w:rsidR="00DB7075" w:rsidRPr="00DB7075">
        <w:rPr>
          <w:i/>
        </w:rPr>
        <w:t xml:space="preserve"> to </w:t>
      </w:r>
      <w:proofErr w:type="spellStart"/>
      <w:r w:rsidR="00DB7075" w:rsidRPr="00DB7075">
        <w:rPr>
          <w:i/>
        </w:rPr>
        <w:t>the</w:t>
      </w:r>
      <w:proofErr w:type="spellEnd"/>
      <w:r w:rsidR="00DB7075" w:rsidRPr="00DB7075">
        <w:rPr>
          <w:i/>
        </w:rPr>
        <w:t xml:space="preserve"> </w:t>
      </w:r>
      <w:proofErr w:type="spellStart"/>
      <w:r w:rsidR="00DB7075" w:rsidRPr="00DB7075">
        <w:rPr>
          <w:i/>
        </w:rPr>
        <w:t>cost</w:t>
      </w:r>
      <w:proofErr w:type="spellEnd"/>
      <w:r w:rsidR="00DB7075" w:rsidRPr="00DB7075">
        <w:rPr>
          <w:i/>
        </w:rPr>
        <w:t xml:space="preserve"> of </w:t>
      </w:r>
      <w:proofErr w:type="spellStart"/>
      <w:r w:rsidR="00DB7075" w:rsidRPr="00DB7075">
        <w:rPr>
          <w:i/>
        </w:rPr>
        <w:t>goods</w:t>
      </w:r>
      <w:proofErr w:type="spellEnd"/>
      <w:r w:rsidR="00DB7075" w:rsidRPr="00DB7075">
        <w:rPr>
          <w:i/>
        </w:rPr>
        <w:t xml:space="preserve"> </w:t>
      </w:r>
      <w:proofErr w:type="spellStart"/>
      <w:r w:rsidR="00DB7075" w:rsidRPr="00DB7075">
        <w:rPr>
          <w:i/>
        </w:rPr>
        <w:t>sold</w:t>
      </w:r>
      <w:proofErr w:type="spellEnd"/>
      <w:r w:rsidR="00DB7075" w:rsidRPr="00DB7075">
        <w:rPr>
          <w:i/>
        </w:rPr>
        <w:t xml:space="preserve"> (COGS) variable.</w:t>
      </w:r>
      <w:r w:rsidR="00DB7075">
        <w:t xml:space="preserve"> (…)”.-</w:t>
      </w:r>
      <w:hyperlink r:id="rId10" w:history="1">
        <w:r w:rsidR="00DB7075" w:rsidRPr="00DB7075">
          <w:rPr>
            <w:rStyle w:val="Hipervnculo"/>
          </w:rPr>
          <w:t xml:space="preserve">A </w:t>
        </w:r>
        <w:proofErr w:type="spellStart"/>
        <w:r w:rsidR="00DB7075" w:rsidRPr="00DB7075">
          <w:rPr>
            <w:rStyle w:val="Hipervnculo"/>
          </w:rPr>
          <w:t>Wrench</w:t>
        </w:r>
        <w:proofErr w:type="spellEnd"/>
        <w:r w:rsidR="00DB7075" w:rsidRPr="00DB7075">
          <w:rPr>
            <w:rStyle w:val="Hipervnculo"/>
          </w:rPr>
          <w:t xml:space="preserve"> in </w:t>
        </w:r>
        <w:proofErr w:type="spellStart"/>
        <w:r w:rsidR="00DB7075" w:rsidRPr="00DB7075">
          <w:rPr>
            <w:rStyle w:val="Hipervnculo"/>
          </w:rPr>
          <w:t>the</w:t>
        </w:r>
        <w:proofErr w:type="spellEnd"/>
        <w:r w:rsidR="00DB7075" w:rsidRPr="00DB7075">
          <w:rPr>
            <w:rStyle w:val="Hipervnculo"/>
          </w:rPr>
          <w:t xml:space="preserve"> COGS: </w:t>
        </w:r>
        <w:proofErr w:type="spellStart"/>
        <w:r w:rsidR="00DB7075" w:rsidRPr="00DB7075">
          <w:rPr>
            <w:rStyle w:val="Hipervnculo"/>
          </w:rPr>
          <w:t>An</w:t>
        </w:r>
        <w:proofErr w:type="spellEnd"/>
        <w:r w:rsidR="00DB7075" w:rsidRPr="00DB7075">
          <w:rPr>
            <w:rStyle w:val="Hipervnculo"/>
          </w:rPr>
          <w:t xml:space="preserve"> </w:t>
        </w:r>
        <w:proofErr w:type="spellStart"/>
        <w:r w:rsidR="00DB7075" w:rsidRPr="00DB7075">
          <w:rPr>
            <w:rStyle w:val="Hipervnculo"/>
          </w:rPr>
          <w:t>Analysis</w:t>
        </w:r>
        <w:proofErr w:type="spellEnd"/>
        <w:r w:rsidR="00DB7075" w:rsidRPr="00DB7075">
          <w:rPr>
            <w:rStyle w:val="Hipervnculo"/>
          </w:rPr>
          <w:t xml:space="preserve"> of </w:t>
        </w:r>
        <w:proofErr w:type="spellStart"/>
        <w:r w:rsidR="00DB7075" w:rsidRPr="00DB7075">
          <w:rPr>
            <w:rStyle w:val="Hipervnculo"/>
          </w:rPr>
          <w:t>the</w:t>
        </w:r>
        <w:proofErr w:type="spellEnd"/>
        <w:r w:rsidR="00DB7075" w:rsidRPr="00DB7075">
          <w:rPr>
            <w:rStyle w:val="Hipervnculo"/>
          </w:rPr>
          <w:t xml:space="preserve"> </w:t>
        </w:r>
        <w:proofErr w:type="spellStart"/>
        <w:r w:rsidR="00DB7075" w:rsidRPr="00DB7075">
          <w:rPr>
            <w:rStyle w:val="Hipervnculo"/>
          </w:rPr>
          <w:t>Differences</w:t>
        </w:r>
        <w:proofErr w:type="spellEnd"/>
        <w:r w:rsidR="00DB7075" w:rsidRPr="00DB7075">
          <w:rPr>
            <w:rStyle w:val="Hipervnculo"/>
          </w:rPr>
          <w:t xml:space="preserve"> </w:t>
        </w:r>
        <w:proofErr w:type="spellStart"/>
        <w:r w:rsidR="00DB7075" w:rsidRPr="00DB7075">
          <w:rPr>
            <w:rStyle w:val="Hipervnculo"/>
          </w:rPr>
          <w:t>between</w:t>
        </w:r>
        <w:proofErr w:type="spellEnd"/>
        <w:r w:rsidR="00DB7075" w:rsidRPr="00DB7075">
          <w:rPr>
            <w:rStyle w:val="Hipervnculo"/>
          </w:rPr>
          <w:t xml:space="preserve"> </w:t>
        </w:r>
        <w:proofErr w:type="spellStart"/>
        <w:r w:rsidR="00DB7075" w:rsidRPr="00DB7075">
          <w:rPr>
            <w:rStyle w:val="Hipervnculo"/>
          </w:rPr>
          <w:t>Cost</w:t>
        </w:r>
        <w:proofErr w:type="spellEnd"/>
        <w:r w:rsidR="00DB7075" w:rsidRPr="00DB7075">
          <w:rPr>
            <w:rStyle w:val="Hipervnculo"/>
          </w:rPr>
          <w:t xml:space="preserve"> of </w:t>
        </w:r>
        <w:proofErr w:type="spellStart"/>
        <w:r w:rsidR="00DB7075" w:rsidRPr="00DB7075">
          <w:rPr>
            <w:rStyle w:val="Hipervnculo"/>
          </w:rPr>
          <w:t>Goods</w:t>
        </w:r>
        <w:proofErr w:type="spellEnd"/>
        <w:r w:rsidR="00DB7075" w:rsidRPr="00DB7075">
          <w:rPr>
            <w:rStyle w:val="Hipervnculo"/>
          </w:rPr>
          <w:t xml:space="preserve"> </w:t>
        </w:r>
        <w:proofErr w:type="spellStart"/>
        <w:r w:rsidR="00DB7075" w:rsidRPr="00DB7075">
          <w:rPr>
            <w:rStyle w:val="Hipervnculo"/>
          </w:rPr>
          <w:t>Sold</w:t>
        </w:r>
        <w:proofErr w:type="spellEnd"/>
        <w:r w:rsidR="00DB7075" w:rsidRPr="00DB7075">
          <w:rPr>
            <w:rStyle w:val="Hipervnculo"/>
          </w:rPr>
          <w:t xml:space="preserve"> as </w:t>
        </w:r>
        <w:proofErr w:type="spellStart"/>
        <w:r w:rsidR="00DB7075" w:rsidRPr="00DB7075">
          <w:rPr>
            <w:rStyle w:val="Hipervnculo"/>
          </w:rPr>
          <w:t>Reported</w:t>
        </w:r>
        <w:proofErr w:type="spellEnd"/>
        <w:r w:rsidR="00DB7075" w:rsidRPr="00DB7075">
          <w:rPr>
            <w:rStyle w:val="Hipervnculo"/>
          </w:rPr>
          <w:t xml:space="preserve"> in </w:t>
        </w:r>
        <w:proofErr w:type="spellStart"/>
        <w:r w:rsidR="00DB7075" w:rsidRPr="00DB7075">
          <w:rPr>
            <w:rStyle w:val="Hipervnculo"/>
          </w:rPr>
          <w:t>Compustat</w:t>
        </w:r>
        <w:proofErr w:type="spellEnd"/>
        <w:r w:rsidR="00DB7075" w:rsidRPr="00DB7075">
          <w:rPr>
            <w:rStyle w:val="Hipervnculo"/>
          </w:rPr>
          <w:t xml:space="preserve"> and in </w:t>
        </w:r>
        <w:proofErr w:type="spellStart"/>
        <w:r w:rsidR="00DB7075" w:rsidRPr="00DB7075">
          <w:rPr>
            <w:rStyle w:val="Hipervnculo"/>
          </w:rPr>
          <w:t>the</w:t>
        </w:r>
        <w:proofErr w:type="spellEnd"/>
        <w:r w:rsidR="00DB7075" w:rsidRPr="00DB7075">
          <w:rPr>
            <w:rStyle w:val="Hipervnculo"/>
          </w:rPr>
          <w:t xml:space="preserve"> </w:t>
        </w:r>
        <w:proofErr w:type="spellStart"/>
        <w:r w:rsidR="00DB7075" w:rsidRPr="00DB7075">
          <w:rPr>
            <w:rStyle w:val="Hipervnculo"/>
          </w:rPr>
          <w:t>Financial</w:t>
        </w:r>
        <w:proofErr w:type="spellEnd"/>
        <w:r w:rsidR="00DB7075" w:rsidRPr="00DB7075">
          <w:rPr>
            <w:rStyle w:val="Hipervnculo"/>
          </w:rPr>
          <w:t xml:space="preserve"> </w:t>
        </w:r>
        <w:proofErr w:type="spellStart"/>
        <w:r w:rsidR="00DB7075" w:rsidRPr="00DB7075">
          <w:rPr>
            <w:rStyle w:val="Hipervnculo"/>
          </w:rPr>
          <w:t>Statements</w:t>
        </w:r>
        <w:proofErr w:type="spellEnd"/>
      </w:hyperlink>
      <w:r w:rsidR="00DB7075">
        <w:t xml:space="preserve">, </w:t>
      </w:r>
      <w:proofErr w:type="spellStart"/>
      <w:r w:rsidR="00DB7075" w:rsidRPr="00DB7075">
        <w:t>Accounting</w:t>
      </w:r>
      <w:proofErr w:type="spellEnd"/>
      <w:r w:rsidR="00DB7075" w:rsidRPr="00DB7075">
        <w:t xml:space="preserve"> </w:t>
      </w:r>
      <w:proofErr w:type="spellStart"/>
      <w:r w:rsidR="00DB7075" w:rsidRPr="00DB7075">
        <w:t>Horizons</w:t>
      </w:r>
      <w:proofErr w:type="spellEnd"/>
      <w:r w:rsidR="00DB7075">
        <w:t xml:space="preserve">, </w:t>
      </w:r>
      <w:r w:rsidR="00DB7075" w:rsidRPr="00DB7075">
        <w:t xml:space="preserve">Vol. 30, No. </w:t>
      </w:r>
      <w:r w:rsidR="00DB7075">
        <w:t xml:space="preserve">2, June 2016, pp. 177–193, </w:t>
      </w:r>
      <w:r w:rsidR="00DB7075" w:rsidRPr="00DB7075">
        <w:t xml:space="preserve">American </w:t>
      </w:r>
      <w:proofErr w:type="spellStart"/>
      <w:r w:rsidR="00DB7075" w:rsidRPr="00DB7075">
        <w:t>Accounting</w:t>
      </w:r>
      <w:proofErr w:type="spellEnd"/>
      <w:r w:rsidR="00DB7075" w:rsidRPr="00DB7075">
        <w:t xml:space="preserve"> </w:t>
      </w:r>
      <w:proofErr w:type="spellStart"/>
      <w:r w:rsidR="00DB7075" w:rsidRPr="00DB7075">
        <w:t>Association</w:t>
      </w:r>
      <w:proofErr w:type="spellEnd"/>
      <w:r w:rsidR="00DB7075">
        <w:t xml:space="preserve">- </w:t>
      </w:r>
    </w:p>
    <w:p w14:paraId="39E001F4" w14:textId="02BECCDD" w:rsidR="00FC19B4" w:rsidRDefault="00FC19B4" w:rsidP="00DB7075">
      <w:r>
        <w:t xml:space="preserve">Estudios como el elaborado por </w:t>
      </w:r>
      <w:r w:rsidR="008402C2">
        <w:t xml:space="preserve">los </w:t>
      </w:r>
      <w:r>
        <w:t xml:space="preserve">investigadores vinculados a la </w:t>
      </w:r>
      <w:proofErr w:type="spellStart"/>
      <w:r w:rsidRPr="00FC19B4">
        <w:t>University</w:t>
      </w:r>
      <w:proofErr w:type="spellEnd"/>
      <w:r w:rsidRPr="00FC19B4">
        <w:t xml:space="preserve"> of West Florid</w:t>
      </w:r>
      <w:r>
        <w:t>a, tienen la importancia de descifrar las diferencias y establecer los métodos para conciliar las cifras, en algunos casos logrando procedimientos para lograr cifras equivalentes. De esta manera los usuarios de la información, especialmente los expertos profesionales, tienen una mayor comprensión de los datos. Deberíamos aprender de este ejemplo y examinar tanto formato que circula en nuestro medio, revelando los criterios subyacentes.</w:t>
      </w:r>
    </w:p>
    <w:p w14:paraId="10DF282F" w14:textId="04DD814D" w:rsidR="00FC19B4" w:rsidRPr="00FC19B4" w:rsidRDefault="00FC19B4" w:rsidP="00FC19B4">
      <w:pPr>
        <w:jc w:val="right"/>
        <w:rPr>
          <w:i/>
        </w:rPr>
      </w:pPr>
      <w:r w:rsidRPr="00FC19B4">
        <w:rPr>
          <w:i/>
        </w:rPr>
        <w:t>Hernando Bermúdez Gómez</w:t>
      </w:r>
    </w:p>
    <w:sectPr w:rsidR="00FC19B4" w:rsidRPr="00FC19B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1DA54" w14:textId="77777777" w:rsidR="00686436" w:rsidRDefault="00686436" w:rsidP="00EE7812">
      <w:pPr>
        <w:spacing w:after="0" w:line="240" w:lineRule="auto"/>
      </w:pPr>
      <w:r>
        <w:separator/>
      </w:r>
    </w:p>
  </w:endnote>
  <w:endnote w:type="continuationSeparator" w:id="0">
    <w:p w14:paraId="3099BDA9" w14:textId="77777777" w:rsidR="00686436" w:rsidRDefault="006864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93896" w14:textId="77777777" w:rsidR="00686436" w:rsidRDefault="00686436" w:rsidP="00EE7812">
      <w:pPr>
        <w:spacing w:after="0" w:line="240" w:lineRule="auto"/>
      </w:pPr>
      <w:r>
        <w:separator/>
      </w:r>
    </w:p>
  </w:footnote>
  <w:footnote w:type="continuationSeparator" w:id="0">
    <w:p w14:paraId="37F42362" w14:textId="77777777" w:rsidR="00686436" w:rsidRDefault="006864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3B7A1E2" w:rsidR="00C04001" w:rsidRDefault="00C04001" w:rsidP="00613BC8">
    <w:pPr>
      <w:pStyle w:val="Encabezado"/>
      <w:tabs>
        <w:tab w:val="left" w:pos="2580"/>
        <w:tab w:val="left" w:pos="2985"/>
      </w:tabs>
      <w:spacing w:line="276" w:lineRule="auto"/>
      <w:jc w:val="right"/>
    </w:pPr>
    <w:r>
      <w:t>Número 2</w:t>
    </w:r>
    <w:r w:rsidR="00171073">
      <w:t>176</w:t>
    </w:r>
    <w:r w:rsidR="00B13530">
      <w:t>, jul</w:t>
    </w:r>
    <w:r w:rsidR="00F36EE9">
      <w:t xml:space="preserve">io </w:t>
    </w:r>
    <w:r w:rsidR="00B13530">
      <w:t>4</w:t>
    </w:r>
    <w:r>
      <w:t xml:space="preserve"> de 2016</w:t>
    </w:r>
  </w:p>
  <w:p w14:paraId="29566F03" w14:textId="77777777" w:rsidR="00C04001" w:rsidRDefault="006864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436"/>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6E0"/>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aajournals.org/doi/abs/10.2308/acch-51336?journalCode=acch" TargetMode="External"/><Relationship Id="rId4" Type="http://schemas.openxmlformats.org/officeDocument/2006/relationships/settings" Target="settings.xml"/><Relationship Id="rId9" Type="http://schemas.openxmlformats.org/officeDocument/2006/relationships/hyperlink" Target="http://www.spcapitaliq.com/our-capabilities/our-capabilities.html?product=compustat-research-insig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EB320-A240-40EF-8128-61480BDB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2016-07-02T21:55:00Z</dcterms:created>
  <dcterms:modified xsi:type="dcterms:W3CDTF">2016-07-02T21:55:00Z</dcterms:modified>
</cp:coreProperties>
</file>