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72B65" w14:textId="4B23D40F" w:rsidR="00F24D39" w:rsidRPr="00F24D39" w:rsidRDefault="00F24D39" w:rsidP="00F24D39">
      <w:pPr>
        <w:keepNext/>
        <w:framePr w:dropCap="drop" w:lines="3" w:wrap="around" w:vAnchor="text" w:hAnchor="text"/>
        <w:spacing w:after="0" w:line="926" w:lineRule="exact"/>
        <w:textAlignment w:val="baseline"/>
        <w:rPr>
          <w:position w:val="-7"/>
          <w:sz w:val="121"/>
        </w:rPr>
      </w:pPr>
      <w:bookmarkStart w:id="0" w:name="_GoBack"/>
      <w:bookmarkEnd w:id="0"/>
      <w:r w:rsidRPr="00F24D39">
        <w:rPr>
          <w:position w:val="-7"/>
          <w:sz w:val="121"/>
        </w:rPr>
        <w:t>U</w:t>
      </w:r>
    </w:p>
    <w:p w14:paraId="4AF9D09C" w14:textId="5702FD3E" w:rsidR="0060225B" w:rsidRDefault="00F24D39" w:rsidP="00C80B5B">
      <w:r>
        <w:t>no de los axiomas del derecho de los mercados señala que hay que combatir la asimetría de información. Hoy se sostiene que entre los funcionarios preparadores, los comités de auditoría, las juntas directivas, los auditores estatutarios, los supervisores gubernamentales, las asambleas de socios y los potenciales inversionistas, existen brechas de conocimiento.</w:t>
      </w:r>
      <w:r w:rsidR="00C5751D">
        <w:t xml:space="preserve"> Por lo general se cree que</w:t>
      </w:r>
      <w:r w:rsidR="0060225B">
        <w:t>,</w:t>
      </w:r>
      <w:r w:rsidR="00C5751D">
        <w:t xml:space="preserve"> mediante la imposición de flujos de información</w:t>
      </w:r>
      <w:r w:rsidR="0060225B">
        <w:t>,</w:t>
      </w:r>
      <w:r w:rsidR="00C5751D">
        <w:t xml:space="preserve"> tales brechas disminuyen y consecuentemente las asimetrías son menores.</w:t>
      </w:r>
      <w:r w:rsidR="00816916">
        <w:t xml:space="preserve"> Por ello la cantidad de información que debe ser enviada a los supervisores está en constante aumento y los formatos respectivos son objeto de frecuentes modificaciones. </w:t>
      </w:r>
      <w:r w:rsidR="00795AFC">
        <w:t xml:space="preserve">La tecnología sigue siendo muy básica, así se hayan modernizado los lenguajes. Se hacen transmisiones bajo parámetros predeterminados, </w:t>
      </w:r>
      <w:r w:rsidR="00BA575C">
        <w:t>por lo general de cifras y códigos.</w:t>
      </w:r>
    </w:p>
    <w:p w14:paraId="3D9CE257" w14:textId="323BED21" w:rsidR="00143FF7" w:rsidRDefault="00C40517" w:rsidP="00143FF7">
      <w:pPr>
        <w:rPr>
          <w:lang w:val="es-ES"/>
        </w:rPr>
      </w:pPr>
      <w:r w:rsidRPr="00C40517">
        <w:t>Mark Russell, en su artículo "</w:t>
      </w:r>
      <w:proofErr w:type="spellStart"/>
      <w:r>
        <w:rPr>
          <w:lang w:val="en-US"/>
        </w:rPr>
        <w:fldChar w:fldCharType="begin"/>
      </w:r>
      <w:r w:rsidRPr="00C40517">
        <w:instrText xml:space="preserve"> HYPERLINK "http://www.emeraldinsight.com/doi/full/10.1108/ARJ-11-2013-0085" </w:instrText>
      </w:r>
      <w:r>
        <w:rPr>
          <w:lang w:val="en-US"/>
        </w:rPr>
        <w:fldChar w:fldCharType="separate"/>
      </w:r>
      <w:r w:rsidRPr="00C40517">
        <w:rPr>
          <w:rStyle w:val="Hipervnculo"/>
        </w:rPr>
        <w:t>Continuous</w:t>
      </w:r>
      <w:proofErr w:type="spellEnd"/>
      <w:r w:rsidRPr="00C40517">
        <w:rPr>
          <w:rStyle w:val="Hipervnculo"/>
        </w:rPr>
        <w:t xml:space="preserve"> </w:t>
      </w:r>
      <w:proofErr w:type="spellStart"/>
      <w:r w:rsidRPr="00C40517">
        <w:rPr>
          <w:rStyle w:val="Hipervnculo"/>
        </w:rPr>
        <w:t>disclosure</w:t>
      </w:r>
      <w:proofErr w:type="spellEnd"/>
      <w:r w:rsidRPr="00C40517">
        <w:rPr>
          <w:rStyle w:val="Hipervnculo"/>
        </w:rPr>
        <w:t xml:space="preserve"> and </w:t>
      </w:r>
      <w:proofErr w:type="spellStart"/>
      <w:r w:rsidRPr="00C40517">
        <w:rPr>
          <w:rStyle w:val="Hipervnculo"/>
        </w:rPr>
        <w:t>information</w:t>
      </w:r>
      <w:proofErr w:type="spellEnd"/>
      <w:r w:rsidRPr="00C40517">
        <w:rPr>
          <w:rStyle w:val="Hipervnculo"/>
        </w:rPr>
        <w:t xml:space="preserve"> </w:t>
      </w:r>
      <w:proofErr w:type="spellStart"/>
      <w:r w:rsidRPr="00C40517">
        <w:rPr>
          <w:rStyle w:val="Hipervnculo"/>
        </w:rPr>
        <w:t>asymmetry</w:t>
      </w:r>
      <w:proofErr w:type="spellEnd"/>
      <w:r>
        <w:rPr>
          <w:lang w:val="en-US"/>
        </w:rPr>
        <w:fldChar w:fldCharType="end"/>
      </w:r>
      <w:r w:rsidRPr="00C40517">
        <w:t>", (</w:t>
      </w:r>
      <w:proofErr w:type="spellStart"/>
      <w:r w:rsidRPr="00C40517">
        <w:t>Accounting</w:t>
      </w:r>
      <w:proofErr w:type="spellEnd"/>
      <w:r w:rsidRPr="00C40517">
        <w:t xml:space="preserve"> </w:t>
      </w:r>
      <w:proofErr w:type="spellStart"/>
      <w:r w:rsidRPr="00C40517">
        <w:t>Research</w:t>
      </w:r>
      <w:proofErr w:type="spellEnd"/>
      <w:r w:rsidRPr="00C40517">
        <w:t xml:space="preserve"> </w:t>
      </w:r>
      <w:proofErr w:type="spellStart"/>
      <w:r w:rsidRPr="00C40517">
        <w:t>Journal</w:t>
      </w:r>
      <w:proofErr w:type="spellEnd"/>
      <w:r w:rsidRPr="00C40517">
        <w:t xml:space="preserve">, 2015, Vol. 28 </w:t>
      </w:r>
      <w:proofErr w:type="spellStart"/>
      <w:r w:rsidRPr="00C40517">
        <w:t>Iss</w:t>
      </w:r>
      <w:proofErr w:type="spellEnd"/>
      <w:r w:rsidRPr="00C40517">
        <w:t xml:space="preserve">: 2, pp.195 – 224), se ocupa de esta problemática, concluyendo: </w:t>
      </w:r>
      <w:r w:rsidR="00143FF7">
        <w:t xml:space="preserve">“(…) </w:t>
      </w:r>
      <w:r w:rsidR="00143FF7" w:rsidRPr="00143FF7">
        <w:rPr>
          <w:i/>
          <w:lang w:val="en-US"/>
        </w:rPr>
        <w:t xml:space="preserve">This study provides initial evidence under CDR that firms with high information asymmetry disclose more information. Further, the results indicate that firms disclose according to their economic characteristics rather than strictly following prescriptive disclosure rules (Frost and </w:t>
      </w:r>
      <w:proofErr w:type="spellStart"/>
      <w:r w:rsidR="00143FF7" w:rsidRPr="00143FF7">
        <w:rPr>
          <w:i/>
          <w:lang w:val="en-US"/>
        </w:rPr>
        <w:t>Pownall</w:t>
      </w:r>
      <w:proofErr w:type="spellEnd"/>
      <w:r w:rsidR="00143FF7" w:rsidRPr="00143FF7">
        <w:rPr>
          <w:i/>
          <w:lang w:val="en-US"/>
        </w:rPr>
        <w:t xml:space="preserve">, 1994). These results are consistent with the argument that management retains disclosure discretion under CDR (Brown et al. , 1999; Hsu et al. , 2012), nevertheless, the benefits of disclosure provide managerial incentives to comply with </w:t>
      </w:r>
      <w:r w:rsidR="00143FF7" w:rsidRPr="00143FF7">
        <w:rPr>
          <w:i/>
          <w:lang w:val="en-US"/>
        </w:rPr>
        <w:t>the CDR. ―Second, the study finds evidence that disclosures increase information asymmetry for firms with high information asymmetry. Those firms with high information asymmetry are arguably the subset of firms targeted by CDR. Nevertheless, these results are consistent with prior evidence of disclosure increasing information asymmetry in the presence of uncertainty or high information asymmetry (Brown et al. , 2009; Rogers et al. , 2009). More broadly, the effect of CDR disclosure on asymmetry is conditional on the firm's economic characteristics, particularly performance expectations and growth measured by E_P and MBV ratios. ―Finally, the study identifies new evidence under CDR that information asymmetry is influenced by the nature of the news. Although bad news creates information asymmetry, firm-specific good and bad news reduce the information asymmetry. In particular, news events such as financial report releases and company administration announcements are likely to reduce information asymmetry. Overall, the results contribute a deeper understanding of the nuanced interaction between firm disclosure and information asymmetry in the CDR information environment</w:t>
      </w:r>
      <w:r w:rsidR="00143FF7" w:rsidRPr="00143FF7">
        <w:rPr>
          <w:lang w:val="en-US"/>
        </w:rPr>
        <w:t>.</w:t>
      </w:r>
      <w:r w:rsidR="00143FF7">
        <w:rPr>
          <w:lang w:val="en-US"/>
        </w:rPr>
        <w:t xml:space="preserve"> </w:t>
      </w:r>
      <w:r w:rsidR="00143FF7" w:rsidRPr="00143FF7">
        <w:rPr>
          <w:lang w:val="es-ES"/>
        </w:rPr>
        <w:t>(…)”. Así las cosas, el aumento de información no siempre reduce las asimetr</w:t>
      </w:r>
      <w:r w:rsidR="00143FF7">
        <w:rPr>
          <w:lang w:val="es-ES"/>
        </w:rPr>
        <w:t>ías. Los administradores siguen dominando los flujos de información y tienden a retrasar u ocultar las malas noticias. La acción combinada de los auditores estatutarios y los supervisores gubernamentales no ha sido capaz de cambiar esto.</w:t>
      </w:r>
      <w:r w:rsidR="000A253D">
        <w:rPr>
          <w:lang w:val="es-ES"/>
        </w:rPr>
        <w:t xml:space="preserve"> Los contadores ciertamente están frente a un gran riesgo.</w:t>
      </w:r>
    </w:p>
    <w:p w14:paraId="4004D5EB" w14:textId="78955B16" w:rsidR="000A253D" w:rsidRPr="000A253D" w:rsidRDefault="000A253D" w:rsidP="000A253D">
      <w:pPr>
        <w:jc w:val="right"/>
        <w:rPr>
          <w:i/>
          <w:lang w:val="es-ES"/>
        </w:rPr>
      </w:pPr>
      <w:r w:rsidRPr="000A253D">
        <w:rPr>
          <w:i/>
          <w:lang w:val="es-ES"/>
        </w:rPr>
        <w:t>Hernando Bermúdez Gómez</w:t>
      </w:r>
    </w:p>
    <w:sectPr w:rsidR="000A253D" w:rsidRPr="000A253D"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28910" w14:textId="77777777" w:rsidR="00207295" w:rsidRDefault="00207295" w:rsidP="00EE7812">
      <w:pPr>
        <w:spacing w:after="0" w:line="240" w:lineRule="auto"/>
      </w:pPr>
      <w:r>
        <w:separator/>
      </w:r>
    </w:p>
  </w:endnote>
  <w:endnote w:type="continuationSeparator" w:id="0">
    <w:p w14:paraId="437B3069" w14:textId="77777777" w:rsidR="00207295" w:rsidRDefault="0020729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76F21" w14:textId="77777777" w:rsidR="00207295" w:rsidRDefault="00207295" w:rsidP="00EE7812">
      <w:pPr>
        <w:spacing w:after="0" w:line="240" w:lineRule="auto"/>
      </w:pPr>
      <w:r>
        <w:separator/>
      </w:r>
    </w:p>
  </w:footnote>
  <w:footnote w:type="continuationSeparator" w:id="0">
    <w:p w14:paraId="0C99C202" w14:textId="77777777" w:rsidR="00207295" w:rsidRDefault="0020729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4E20933" w:rsidR="00C04001" w:rsidRDefault="00C04001" w:rsidP="00613BC8">
    <w:pPr>
      <w:pStyle w:val="Encabezado"/>
      <w:tabs>
        <w:tab w:val="left" w:pos="2580"/>
        <w:tab w:val="left" w:pos="2985"/>
      </w:tabs>
      <w:spacing w:line="276" w:lineRule="auto"/>
      <w:jc w:val="right"/>
    </w:pPr>
    <w:r>
      <w:t>Número 2</w:t>
    </w:r>
    <w:r w:rsidR="00C80B5B">
      <w:t>180</w:t>
    </w:r>
    <w:r w:rsidR="00B13530">
      <w:t>, jul</w:t>
    </w:r>
    <w:r w:rsidR="00F36EE9">
      <w:t xml:space="preserve">io </w:t>
    </w:r>
    <w:r w:rsidR="00B13530">
      <w:t>4</w:t>
    </w:r>
    <w:r>
      <w:t xml:space="preserve"> de 2016</w:t>
    </w:r>
  </w:p>
  <w:p w14:paraId="29566F03" w14:textId="77777777" w:rsidR="00C04001" w:rsidRDefault="0020729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4B6"/>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CE3"/>
    <w:rsid w:val="00082E21"/>
    <w:rsid w:val="00082E9B"/>
    <w:rsid w:val="0008300E"/>
    <w:rsid w:val="000830A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01"/>
    <w:rsid w:val="003A341D"/>
    <w:rsid w:val="003A37F3"/>
    <w:rsid w:val="003A38F2"/>
    <w:rsid w:val="003A3B59"/>
    <w:rsid w:val="003A3B98"/>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8EA"/>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72C"/>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440"/>
    <w:rsid w:val="004F173B"/>
    <w:rsid w:val="004F1999"/>
    <w:rsid w:val="004F1A8D"/>
    <w:rsid w:val="004F1AA9"/>
    <w:rsid w:val="004F1AB6"/>
    <w:rsid w:val="004F1B43"/>
    <w:rsid w:val="004F1E3E"/>
    <w:rsid w:val="004F1E69"/>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197"/>
    <w:rsid w:val="006973BF"/>
    <w:rsid w:val="00697423"/>
    <w:rsid w:val="0069746F"/>
    <w:rsid w:val="0069747B"/>
    <w:rsid w:val="00697562"/>
    <w:rsid w:val="006979AC"/>
    <w:rsid w:val="00697B53"/>
    <w:rsid w:val="00697BA5"/>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6649"/>
    <w:rsid w:val="0076670A"/>
    <w:rsid w:val="0076676D"/>
    <w:rsid w:val="007668CB"/>
    <w:rsid w:val="0076699A"/>
    <w:rsid w:val="00766ADB"/>
    <w:rsid w:val="00766C1C"/>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468"/>
    <w:rsid w:val="008F65AB"/>
    <w:rsid w:val="008F6690"/>
    <w:rsid w:val="008F66A1"/>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5AD"/>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A4B"/>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D6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3123"/>
    <w:rsid w:val="00D23472"/>
    <w:rsid w:val="00D2348A"/>
    <w:rsid w:val="00D23606"/>
    <w:rsid w:val="00D236F0"/>
    <w:rsid w:val="00D23791"/>
    <w:rsid w:val="00D23CE4"/>
    <w:rsid w:val="00D24093"/>
    <w:rsid w:val="00D240CB"/>
    <w:rsid w:val="00D24483"/>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B40"/>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834"/>
    <w:rsid w:val="00E418E2"/>
    <w:rsid w:val="00E41A65"/>
    <w:rsid w:val="00E41C21"/>
    <w:rsid w:val="00E41D39"/>
    <w:rsid w:val="00E41DB9"/>
    <w:rsid w:val="00E41E39"/>
    <w:rsid w:val="00E420A2"/>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6139"/>
    <w:rsid w:val="00F06162"/>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21E"/>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17F"/>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18B04-338B-4DDB-8786-5EDE8283F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2016-07-02T22:02:00Z</dcterms:created>
  <dcterms:modified xsi:type="dcterms:W3CDTF">2016-07-02T22:02:00Z</dcterms:modified>
</cp:coreProperties>
</file>