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7D8A" w14:textId="582A82C0" w:rsidR="00274F99" w:rsidRPr="00274F99" w:rsidRDefault="00274F99" w:rsidP="00274F9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274F99">
        <w:rPr>
          <w:position w:val="-8"/>
          <w:sz w:val="123"/>
        </w:rPr>
        <w:t>P</w:t>
      </w:r>
    </w:p>
    <w:p w14:paraId="3ABA0921" w14:textId="64AB9456" w:rsidR="00C7198C" w:rsidRDefault="00274F99" w:rsidP="00274F99">
      <w:r>
        <w:t xml:space="preserve">ropuso el </w:t>
      </w:r>
      <w:hyperlink r:id="rId8" w:history="1">
        <w:r w:rsidRPr="00274F99">
          <w:rPr>
            <w:rStyle w:val="Hipervnculo"/>
          </w:rPr>
          <w:t>Consejo Técnico de la Contaduría Pública</w:t>
        </w:r>
      </w:hyperlink>
      <w:r>
        <w:t xml:space="preserve"> “(…) </w:t>
      </w:r>
      <w:r w:rsidRPr="00274F99">
        <w:rPr>
          <w:i/>
        </w:rPr>
        <w:t>Las remisiones que se hagan en el Estatuto Tributario a la contabilidad, a la técnica contable, a los libros contables o a las normas o principios de contabilidad de general aceptación, se entenderán efectuadas a los criterios de reconocimiento y medición contenidos en el marco técnico normativo que corresponda, excepto en los siguientes casos: ―a. Las mediciones que se efectúen a valor presente en los marcos técnicos normativos, tomarán como base la medición al costo para efectos tributarios. En consecuencia, los gastos o ingresos financieros que se generen para efectos contables según esos marcos, serán gravables o deducibles solamente cuando exista una tasa de interés explícita pactada en la transacción, la cual se utilizará como base para determinar los intereses gravables o deducibles en cada caso; ―b. Las partidas que impliquen la medición a valores razonables según los marcos técnicos normativos, deberán medirse al costo o valor nominal para efectos tributarios. Por consiguiente, los cambios de valor que se lleven a resultados o al otro resultado integral para fines contables, sólo generarán efectos tributarios cuando la transacción se realice mediante la transferencia económica del activo o la extinción del pasivo, según sea el caso.</w:t>
      </w:r>
      <w:r>
        <w:t xml:space="preserve"> (…)”. Para nosotros queda absolutamente claro que es posible tomar determinaciones tributarias frente a la contabilidad financiera sin incurrir en la frondosa redacción que propone el </w:t>
      </w:r>
      <w:hyperlink r:id="rId9" w:history="1">
        <w:r w:rsidRPr="00587186">
          <w:rPr>
            <w:rStyle w:val="Hipervnculo"/>
          </w:rPr>
          <w:t>proyecto de reforma tributaria “estructural”</w:t>
        </w:r>
      </w:hyperlink>
      <w:r>
        <w:t>.</w:t>
      </w:r>
    </w:p>
    <w:p w14:paraId="54F68FAC" w14:textId="3172ACE1" w:rsidR="00200589" w:rsidRDefault="00625FFD" w:rsidP="005062AE">
      <w:r>
        <w:t>Por otra parte, nosotros creemos que el costo nominal o el costo histórico</w:t>
      </w:r>
      <w:r w:rsidR="002D0862">
        <w:t xml:space="preserve"> no es garantía de justicia, pues puede generar un incorrecto cálculo de la capacidad contributiva. La jurisprudencia</w:t>
      </w:r>
      <w:r w:rsidR="00BD79B1">
        <w:t xml:space="preserve"> -Sentencia 2012-00276/19997 de agosto 30 de 2016 Consejo de Estado, Sala de lo Contencioso Administrativo, Sección Cuarta, Rad.: 250002327000201200276-01, Número interno: 19997, Consejero Ponente: Dr. Hugo Fernando Bastidas Bárcenas- </w:t>
      </w:r>
      <w:r w:rsidR="002D0862">
        <w:t xml:space="preserve">ha reiterado que “(…) </w:t>
      </w:r>
      <w:r w:rsidR="002D0862" w:rsidRPr="009059A8">
        <w:rPr>
          <w:i/>
        </w:rPr>
        <w:t>De otra parte, sobre la capacidad contributiva que las demandantes alega</w:t>
      </w:r>
      <w:r w:rsidR="009059A8" w:rsidRPr="009059A8">
        <w:rPr>
          <w:i/>
        </w:rPr>
        <w:t>n</w:t>
      </w:r>
      <w:r w:rsidR="002D0862" w:rsidRPr="009059A8">
        <w:rPr>
          <w:i/>
        </w:rPr>
        <w:t xml:space="preserve"> no fue tenida en cuente en los actos demandados, la Corte Constitucional ha señalado que “es la posibilidad económica que tiene una persona de tributar, o sea, la idoneidad subjetiva, no teórica sino real, en cuanto depende de la fuerza económica del sujeto, para ser llamado a cumplir con el deber de pagar tributos</w:t>
      </w:r>
      <w:r w:rsidR="009059A8">
        <w:t xml:space="preserve"> (…)”</w:t>
      </w:r>
      <w:r w:rsidR="00BD79B1">
        <w:t xml:space="preserve">. La capacidad económica no puede ser </w:t>
      </w:r>
      <w:r w:rsidR="00B76C17">
        <w:t>establecida</w:t>
      </w:r>
      <w:r w:rsidR="00BD79B1">
        <w:t xml:space="preserve"> en términos de mediciones iniciales, pues los cambios que sufre lo medido deben considerarse en la época de la imposición.</w:t>
      </w:r>
      <w:r w:rsidR="005062AE">
        <w:t xml:space="preserve"> Deberíamos estudiar el concepto de capital o patrimonio físico, puesto que “(…) </w:t>
      </w:r>
      <w:r w:rsidR="005062AE" w:rsidRPr="005062AE">
        <w:rPr>
          <w:i/>
        </w:rPr>
        <w:t>Bajo este concepto se obtiene ganancia sólo si la capacidad productiva en términos físicos (o capacidad operativa) de la entidad al final del periodo (o los recursos o fondos necesarios para conseguir esa capacidad) excede a la capacidad productiva en términos físicos al principio del periodo, después de excluir las aportaciones de los propietarios y las distribuciones hechas a los mismos durante ese periodo.</w:t>
      </w:r>
      <w:r w:rsidR="005062AE">
        <w:t xml:space="preserve"> (…)” -marco conceptual 4.59b.</w:t>
      </w:r>
    </w:p>
    <w:p w14:paraId="0FF84E03" w14:textId="640284F4" w:rsidR="005062AE" w:rsidRPr="005062AE" w:rsidRDefault="005062AE" w:rsidP="005062AE">
      <w:pPr>
        <w:jc w:val="right"/>
        <w:rPr>
          <w:i/>
        </w:rPr>
      </w:pPr>
      <w:r w:rsidRPr="005062AE">
        <w:rPr>
          <w:i/>
        </w:rPr>
        <w:t>Hernando Bermúdez Gómez</w:t>
      </w:r>
    </w:p>
    <w:sectPr w:rsidR="005062AE" w:rsidRPr="005062AE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FA8C0" w14:textId="77777777" w:rsidR="009C6016" w:rsidRDefault="009C6016" w:rsidP="00EE7812">
      <w:pPr>
        <w:spacing w:after="0" w:line="240" w:lineRule="auto"/>
      </w:pPr>
      <w:r>
        <w:separator/>
      </w:r>
    </w:p>
  </w:endnote>
  <w:endnote w:type="continuationSeparator" w:id="0">
    <w:p w14:paraId="6C3CEFF2" w14:textId="77777777" w:rsidR="009C6016" w:rsidRDefault="009C601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8D582E" w:rsidRDefault="008D582E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A498A" w14:textId="77777777" w:rsidR="009C6016" w:rsidRDefault="009C6016" w:rsidP="00EE7812">
      <w:pPr>
        <w:spacing w:after="0" w:line="240" w:lineRule="auto"/>
      </w:pPr>
      <w:r>
        <w:separator/>
      </w:r>
    </w:p>
  </w:footnote>
  <w:footnote w:type="continuationSeparator" w:id="0">
    <w:p w14:paraId="085E58F6" w14:textId="77777777" w:rsidR="009C6016" w:rsidRDefault="009C601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8D582E" w:rsidRDefault="008D582E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8D582E" w:rsidRDefault="008D582E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5579E3A" w:rsidR="008D582E" w:rsidRDefault="008D58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3A1107">
      <w:t>460</w:t>
    </w:r>
    <w:r w:rsidR="00EC3804">
      <w:t>, noviembre 21</w:t>
    </w:r>
    <w:r>
      <w:t xml:space="preserve"> de 2016</w:t>
    </w:r>
  </w:p>
  <w:p w14:paraId="29566F03" w14:textId="77777777" w:rsidR="008D582E" w:rsidRDefault="009C601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1D61931"/>
    <w:multiLevelType w:val="multilevel"/>
    <w:tmpl w:val="37F2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6"/>
  </w:num>
  <w:num w:numId="11">
    <w:abstractNumId w:val="33"/>
  </w:num>
  <w:num w:numId="12">
    <w:abstractNumId w:val="1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4"/>
  </w:num>
  <w:num w:numId="21">
    <w:abstractNumId w:val="22"/>
  </w:num>
  <w:num w:numId="22">
    <w:abstractNumId w:val="3"/>
  </w:num>
  <w:num w:numId="23">
    <w:abstractNumId w:val="23"/>
  </w:num>
  <w:num w:numId="24">
    <w:abstractNumId w:val="28"/>
  </w:num>
  <w:num w:numId="25">
    <w:abstractNumId w:val="2"/>
  </w:num>
  <w:num w:numId="26">
    <w:abstractNumId w:val="17"/>
  </w:num>
  <w:num w:numId="27">
    <w:abstractNumId w:val="35"/>
  </w:num>
  <w:num w:numId="28">
    <w:abstractNumId w:val="37"/>
  </w:num>
  <w:num w:numId="29">
    <w:abstractNumId w:val="34"/>
  </w:num>
  <w:num w:numId="30">
    <w:abstractNumId w:val="38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36"/>
  </w:num>
  <w:num w:numId="36">
    <w:abstractNumId w:val="18"/>
  </w:num>
  <w:num w:numId="37">
    <w:abstractNumId w:val="4"/>
  </w:num>
  <w:num w:numId="38">
    <w:abstractNumId w:val="27"/>
  </w:num>
  <w:num w:numId="39">
    <w:abstractNumId w:val="45"/>
  </w:num>
  <w:num w:numId="40">
    <w:abstractNumId w:val="0"/>
  </w:num>
  <w:num w:numId="41">
    <w:abstractNumId w:val="29"/>
  </w:num>
  <w:num w:numId="42">
    <w:abstractNumId w:val="31"/>
  </w:num>
  <w:num w:numId="43">
    <w:abstractNumId w:val="32"/>
  </w:num>
  <w:num w:numId="44">
    <w:abstractNumId w:val="30"/>
  </w:num>
  <w:num w:numId="45">
    <w:abstractNumId w:val="21"/>
  </w:num>
  <w:num w:numId="46">
    <w:abstractNumId w:val="10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919"/>
    <w:rsid w:val="00002AAC"/>
    <w:rsid w:val="00002AF6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22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5A9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2A"/>
    <w:rsid w:val="00114E6E"/>
    <w:rsid w:val="0011503F"/>
    <w:rsid w:val="001153F4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21C"/>
    <w:rsid w:val="001563D9"/>
    <w:rsid w:val="001564C9"/>
    <w:rsid w:val="001567DA"/>
    <w:rsid w:val="00156855"/>
    <w:rsid w:val="00156954"/>
    <w:rsid w:val="00156AC4"/>
    <w:rsid w:val="00156C1A"/>
    <w:rsid w:val="00156CAD"/>
    <w:rsid w:val="00156DB7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9ED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82"/>
    <w:rsid w:val="001C7391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61F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4B"/>
    <w:rsid w:val="00354BC0"/>
    <w:rsid w:val="00354D4D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760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383"/>
    <w:rsid w:val="00403536"/>
    <w:rsid w:val="004035E2"/>
    <w:rsid w:val="004039A0"/>
    <w:rsid w:val="00403AB7"/>
    <w:rsid w:val="00403BDB"/>
    <w:rsid w:val="00403CCB"/>
    <w:rsid w:val="00403CCC"/>
    <w:rsid w:val="00403E3B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532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C93"/>
    <w:rsid w:val="00581F29"/>
    <w:rsid w:val="00581F3D"/>
    <w:rsid w:val="0058214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814"/>
    <w:rsid w:val="005848FF"/>
    <w:rsid w:val="0058499F"/>
    <w:rsid w:val="005849BB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70E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59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363"/>
    <w:rsid w:val="005A158E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F18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07FB8"/>
    <w:rsid w:val="006104BB"/>
    <w:rsid w:val="006105B1"/>
    <w:rsid w:val="00610AA1"/>
    <w:rsid w:val="00610B73"/>
    <w:rsid w:val="00610BF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91A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6CEB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BD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E91"/>
    <w:rsid w:val="006C3F5A"/>
    <w:rsid w:val="006C3FFE"/>
    <w:rsid w:val="006C4017"/>
    <w:rsid w:val="006C4065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4E39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374"/>
    <w:rsid w:val="006F642E"/>
    <w:rsid w:val="006F64D5"/>
    <w:rsid w:val="006F6662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949"/>
    <w:rsid w:val="00707A8C"/>
    <w:rsid w:val="00707AE0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4E"/>
    <w:rsid w:val="00772896"/>
    <w:rsid w:val="00772AA8"/>
    <w:rsid w:val="00772AEC"/>
    <w:rsid w:val="00772BA7"/>
    <w:rsid w:val="00772C66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36"/>
    <w:rsid w:val="007C656C"/>
    <w:rsid w:val="007C65CC"/>
    <w:rsid w:val="007C65F7"/>
    <w:rsid w:val="007C66D9"/>
    <w:rsid w:val="007C66FD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98D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522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46D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A6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1E7"/>
    <w:rsid w:val="00924273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1C4"/>
    <w:rsid w:val="009252FD"/>
    <w:rsid w:val="00925380"/>
    <w:rsid w:val="0092546F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400A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1F0E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BC7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16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BCB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5D"/>
    <w:rsid w:val="00A244E6"/>
    <w:rsid w:val="00A2473E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E6"/>
    <w:rsid w:val="00A317F3"/>
    <w:rsid w:val="00A3187F"/>
    <w:rsid w:val="00A319AC"/>
    <w:rsid w:val="00A31B88"/>
    <w:rsid w:val="00A31CEB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1F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D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F3"/>
    <w:rsid w:val="00AA13CC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520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54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34A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3A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60F"/>
    <w:rsid w:val="00BF7783"/>
    <w:rsid w:val="00BF77E7"/>
    <w:rsid w:val="00BF77F0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211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0E9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01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3"/>
    <w:rsid w:val="00C804CD"/>
    <w:rsid w:val="00C80506"/>
    <w:rsid w:val="00C8050A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42A"/>
    <w:rsid w:val="00D1661F"/>
    <w:rsid w:val="00D16675"/>
    <w:rsid w:val="00D166B6"/>
    <w:rsid w:val="00D16756"/>
    <w:rsid w:val="00D16917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2EE"/>
    <w:rsid w:val="00D23449"/>
    <w:rsid w:val="00D23472"/>
    <w:rsid w:val="00D2348A"/>
    <w:rsid w:val="00D23606"/>
    <w:rsid w:val="00D236F0"/>
    <w:rsid w:val="00D2379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AB1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BCC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A93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BD9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86D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C89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60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5AC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CBE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99D"/>
    <w:rsid w:val="00F35B8A"/>
    <w:rsid w:val="00F35BF1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index!.php?NEWS_ID=7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rvoaspr.imprenta.gov.co/gacetap/gaceta.mostrar_documento?p_tipo=05&amp;p_numero=178&amp;p_consec=462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3581-8A70-41F2-80C0-86FE8C15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2016-11-20T20:22:00Z</dcterms:created>
  <dcterms:modified xsi:type="dcterms:W3CDTF">2016-11-20T20:22:00Z</dcterms:modified>
</cp:coreProperties>
</file>