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BFBA0" w14:textId="14330F46" w:rsidR="009716CA" w:rsidRPr="009716CA" w:rsidRDefault="009716CA" w:rsidP="009716CA">
      <w:pPr>
        <w:keepNext/>
        <w:framePr w:dropCap="drop" w:lines="3" w:wrap="around" w:vAnchor="text" w:hAnchor="text"/>
        <w:spacing w:after="0" w:line="926" w:lineRule="exact"/>
        <w:textAlignment w:val="baseline"/>
        <w:rPr>
          <w:position w:val="-8"/>
          <w:sz w:val="123"/>
        </w:rPr>
      </w:pPr>
      <w:bookmarkStart w:id="0" w:name="_GoBack"/>
      <w:bookmarkEnd w:id="0"/>
      <w:r w:rsidRPr="009716CA">
        <w:rPr>
          <w:position w:val="-8"/>
          <w:sz w:val="123"/>
        </w:rPr>
        <w:t>P</w:t>
      </w:r>
    </w:p>
    <w:p w14:paraId="5396566F" w14:textId="32F8F746" w:rsidR="00C43D79" w:rsidRPr="00C43D79" w:rsidRDefault="00C43D79" w:rsidP="00C43D79">
      <w:r w:rsidRPr="00C43D79">
        <w:t xml:space="preserve">ara hablar </w:t>
      </w:r>
      <w:r w:rsidR="009716CA">
        <w:t>d</w:t>
      </w:r>
      <w:r w:rsidRPr="00C43D79">
        <w:t xml:space="preserve">e dividendos y sus cambios en el proyecto de reforma tributaria, nos debemos remitir a un concepto complejo; la doble tributación, se podría pensar que el proyecto de reforma está apoyando la doble tributación para Colombia. </w:t>
      </w:r>
    </w:p>
    <w:p w14:paraId="497EB657" w14:textId="6864F6D6" w:rsidR="00C43D79" w:rsidRPr="00C43D79" w:rsidRDefault="00C43D79" w:rsidP="00C43D79">
      <w:r w:rsidRPr="00C43D79">
        <w:t xml:space="preserve">¿Pero que es la doble tributación? Resumiendo, el concepto es cuando un ingreso es gravado con un mismo impuesto varias veces. Se debe tener en cuenta que existen dos tipos de doble tributación: </w:t>
      </w:r>
    </w:p>
    <w:p w14:paraId="1D261587" w14:textId="39D0F324" w:rsidR="00C43D79" w:rsidRPr="00C43D79" w:rsidRDefault="00C43D79" w:rsidP="00C43D79">
      <w:r w:rsidRPr="00C43D79">
        <w:rPr>
          <w:b/>
        </w:rPr>
        <w:t>1.</w:t>
      </w:r>
      <w:r w:rsidRPr="00C43D79">
        <w:t xml:space="preserve"> </w:t>
      </w:r>
      <w:r w:rsidRPr="00C43D79">
        <w:rPr>
          <w:b/>
        </w:rPr>
        <w:t>Doble</w:t>
      </w:r>
      <w:r w:rsidRPr="00C43D79">
        <w:t xml:space="preserve"> </w:t>
      </w:r>
      <w:r w:rsidRPr="00C43D79">
        <w:rPr>
          <w:b/>
        </w:rPr>
        <w:t>Tributación Económica</w:t>
      </w:r>
      <w:r w:rsidRPr="00C43D79">
        <w:t xml:space="preserve">: (Se grava el mismo ingreso a dos o más personas sin diferenciar si son naturales o jurídicas); </w:t>
      </w:r>
      <w:r w:rsidRPr="00C43D79">
        <w:rPr>
          <w:b/>
        </w:rPr>
        <w:t>2. Doble</w:t>
      </w:r>
      <w:r w:rsidRPr="00C43D79">
        <w:t xml:space="preserve"> </w:t>
      </w:r>
      <w:r w:rsidRPr="00C43D79">
        <w:rPr>
          <w:b/>
        </w:rPr>
        <w:t>Tributación Jurídica</w:t>
      </w:r>
      <w:r w:rsidRPr="00C43D79">
        <w:t xml:space="preserve">: (Cuando un mismo sujeto es gravado varias veces en distintas jurisdicciones, </w:t>
      </w:r>
      <w:r w:rsidR="009716CA">
        <w:t xml:space="preserve">o </w:t>
      </w:r>
      <w:r w:rsidRPr="00C43D79">
        <w:t>sea</w:t>
      </w:r>
      <w:r w:rsidR="009716CA">
        <w:t>,</w:t>
      </w:r>
      <w:r w:rsidRPr="00C43D79">
        <w:t xml:space="preserve"> se grava la misma renta y al mismo sujeto más de una vez).</w:t>
      </w:r>
    </w:p>
    <w:p w14:paraId="5914A16D" w14:textId="77777777" w:rsidR="00C43D79" w:rsidRPr="00C43D79" w:rsidRDefault="00C43D79" w:rsidP="00C43D79">
      <w:r w:rsidRPr="00C43D79">
        <w:t>En la exposición de motivos del proyecto de reforma se manifiesta: “</w:t>
      </w:r>
      <w:r w:rsidRPr="00C43D79">
        <w:rPr>
          <w:i/>
        </w:rPr>
        <w:t>Con el fin de proveer de mayor progresividad al impuesto de renta, se propone gravar los dividendos en cabeza de las personas naturales</w:t>
      </w:r>
      <w:r w:rsidRPr="00C43D79">
        <w:t>”</w:t>
      </w:r>
    </w:p>
    <w:p w14:paraId="0781B415" w14:textId="05E5DCCB" w:rsidR="00C43D79" w:rsidRPr="00C43D79" w:rsidRDefault="00C43D79" w:rsidP="00C43D79">
      <w:r w:rsidRPr="00C43D79">
        <w:t xml:space="preserve">El proyecto modifica el </w:t>
      </w:r>
      <w:hyperlink r:id="rId8" w:history="1">
        <w:r w:rsidRPr="009716CA">
          <w:rPr>
            <w:rStyle w:val="Hipervnculo"/>
          </w:rPr>
          <w:t>Art. 48 E.T.</w:t>
        </w:r>
      </w:hyperlink>
      <w:r w:rsidRPr="00C43D79">
        <w:t>, los ingresos por dividendos para las personas naturales pasan a ser gravados, la tarifa depende si provienen de un INCRNGO o son gravados; los dividendos y participaciones recibidos por sociedades nacionales serán ingresos no constitutivos de renta ni ganancia ocasional.</w:t>
      </w:r>
    </w:p>
    <w:p w14:paraId="7B250E77" w14:textId="0C73063E" w:rsidR="00C43D79" w:rsidRPr="00C43D79" w:rsidRDefault="00C43D79" w:rsidP="009716CA">
      <w:r w:rsidRPr="00C43D79">
        <w:t xml:space="preserve">¿Realmente hay progresividad? o es el resultado de un lobby con muchos intereses particulares, con la constante justificación </w:t>
      </w:r>
      <w:r w:rsidRPr="00C43D79">
        <w:t>que todo se hace por fomentar la inversión.</w:t>
      </w:r>
      <w:r w:rsidR="009716CA">
        <w:t xml:space="preserve"> </w:t>
      </w:r>
      <w:r w:rsidRPr="00C43D79">
        <w:t xml:space="preserve">Con esta regulación tendríamos en las rentas por dividendos para las personas naturales doble tributación económica. Pareciera ser que la doble tributación económica es aceptada a nivel internacional, vemos que los CDI se fundamentan en evitar la doble tributación jurídica, más no en la económica, en Colombia también se evita, a través del </w:t>
      </w:r>
      <w:hyperlink r:id="rId9" w:history="1">
        <w:r w:rsidRPr="009716CA">
          <w:rPr>
            <w:rStyle w:val="Hipervnculo"/>
          </w:rPr>
          <w:t>Art 254 del E.T.</w:t>
        </w:r>
      </w:hyperlink>
      <w:r w:rsidRPr="00C43D79">
        <w:t xml:space="preserve"> en el cual se faculta al contribuyente, a tomar un descuento tributario: (Descuentos por impuestos pagados en el exterior.)</w:t>
      </w:r>
      <w:r w:rsidR="009716CA">
        <w:t xml:space="preserve"> </w:t>
      </w:r>
      <w:r w:rsidRPr="00C43D79">
        <w:t>Los Dividendos y participaciones que recibían las P.N. como INCRNGO, ahora tributarían así:</w:t>
      </w:r>
    </w:p>
    <w:tbl>
      <w:tblPr>
        <w:tblpPr w:leftFromText="141" w:rightFromText="141" w:vertAnchor="text" w:horzAnchor="margin" w:tblpXSpec="right" w:tblpY="27"/>
        <w:tblW w:w="4010" w:type="dxa"/>
        <w:tblCellMar>
          <w:left w:w="70" w:type="dxa"/>
          <w:right w:w="70" w:type="dxa"/>
        </w:tblCellMar>
        <w:tblLook w:val="04A0" w:firstRow="1" w:lastRow="0" w:firstColumn="1" w:lastColumn="0" w:noHBand="0" w:noVBand="1"/>
      </w:tblPr>
      <w:tblGrid>
        <w:gridCol w:w="707"/>
        <w:gridCol w:w="904"/>
        <w:gridCol w:w="1080"/>
        <w:gridCol w:w="1319"/>
      </w:tblGrid>
      <w:tr w:rsidR="00C43D79" w:rsidRPr="00C43D79" w14:paraId="7A4F32A3" w14:textId="77777777" w:rsidTr="001B102E">
        <w:trPr>
          <w:trHeight w:val="134"/>
        </w:trPr>
        <w:tc>
          <w:tcPr>
            <w:tcW w:w="16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8F5C6" w14:textId="77777777" w:rsidR="00C43D79" w:rsidRPr="00C43D79" w:rsidRDefault="00C43D79" w:rsidP="00C43D79">
            <w:pPr>
              <w:spacing w:after="0" w:line="240" w:lineRule="auto"/>
              <w:jc w:val="center"/>
              <w:rPr>
                <w:b/>
                <w:bCs/>
                <w:color w:val="000000"/>
                <w:sz w:val="14"/>
                <w:lang w:eastAsia="es-CO"/>
              </w:rPr>
            </w:pPr>
            <w:r w:rsidRPr="00C43D79">
              <w:rPr>
                <w:b/>
                <w:bCs/>
                <w:color w:val="000000"/>
                <w:sz w:val="14"/>
                <w:lang w:eastAsia="es-CO"/>
              </w:rPr>
              <w:t>RANGOS EN UVT</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7E9813A" w14:textId="77777777" w:rsidR="00C43D79" w:rsidRPr="00C43D79" w:rsidRDefault="00C43D79" w:rsidP="00C43D79">
            <w:pPr>
              <w:spacing w:after="0" w:line="240" w:lineRule="auto"/>
              <w:jc w:val="center"/>
              <w:rPr>
                <w:b/>
                <w:bCs/>
                <w:color w:val="000000"/>
                <w:sz w:val="14"/>
                <w:lang w:eastAsia="es-CO"/>
              </w:rPr>
            </w:pPr>
            <w:r w:rsidRPr="00C43D79">
              <w:rPr>
                <w:b/>
                <w:bCs/>
                <w:color w:val="000000"/>
                <w:sz w:val="14"/>
                <w:lang w:eastAsia="es-CO"/>
              </w:rPr>
              <w:t>TARIFA MARGINAL</w:t>
            </w:r>
          </w:p>
        </w:tc>
        <w:tc>
          <w:tcPr>
            <w:tcW w:w="131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F4ECF" w14:textId="77777777" w:rsidR="00C43D79" w:rsidRPr="00C43D79" w:rsidRDefault="00C43D79" w:rsidP="00C43D79">
            <w:pPr>
              <w:spacing w:after="0" w:line="240" w:lineRule="auto"/>
              <w:jc w:val="center"/>
              <w:rPr>
                <w:b/>
                <w:bCs/>
                <w:color w:val="000000"/>
                <w:sz w:val="14"/>
                <w:lang w:eastAsia="es-CO"/>
              </w:rPr>
            </w:pPr>
            <w:r w:rsidRPr="00C43D79">
              <w:rPr>
                <w:b/>
                <w:bCs/>
                <w:color w:val="000000"/>
                <w:sz w:val="14"/>
                <w:lang w:eastAsia="es-CO"/>
              </w:rPr>
              <w:t>IMPUESTO</w:t>
            </w:r>
          </w:p>
        </w:tc>
      </w:tr>
      <w:tr w:rsidR="00C43D79" w:rsidRPr="00C43D79" w14:paraId="543FAAA9" w14:textId="77777777" w:rsidTr="001B102E">
        <w:trPr>
          <w:trHeight w:val="269"/>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14:paraId="4B569671" w14:textId="77777777" w:rsidR="00C43D79" w:rsidRPr="00C43D79" w:rsidRDefault="00C43D79" w:rsidP="00C43D79">
            <w:pPr>
              <w:spacing w:after="0" w:line="240" w:lineRule="auto"/>
              <w:rPr>
                <w:b/>
                <w:bCs/>
                <w:color w:val="000000"/>
                <w:sz w:val="14"/>
                <w:lang w:eastAsia="es-CO"/>
              </w:rPr>
            </w:pPr>
            <w:r w:rsidRPr="00C43D79">
              <w:rPr>
                <w:b/>
                <w:bCs/>
                <w:color w:val="000000"/>
                <w:sz w:val="14"/>
                <w:lang w:eastAsia="es-CO"/>
              </w:rPr>
              <w:t xml:space="preserve">Desde </w:t>
            </w:r>
          </w:p>
        </w:tc>
        <w:tc>
          <w:tcPr>
            <w:tcW w:w="904" w:type="dxa"/>
            <w:tcBorders>
              <w:top w:val="nil"/>
              <w:left w:val="nil"/>
              <w:bottom w:val="single" w:sz="4" w:space="0" w:color="auto"/>
              <w:right w:val="single" w:sz="4" w:space="0" w:color="auto"/>
            </w:tcBorders>
            <w:shd w:val="clear" w:color="auto" w:fill="auto"/>
            <w:noWrap/>
            <w:vAlign w:val="bottom"/>
            <w:hideMark/>
          </w:tcPr>
          <w:p w14:paraId="53D65760" w14:textId="77777777" w:rsidR="00C43D79" w:rsidRPr="00C43D79" w:rsidRDefault="00C43D79" w:rsidP="00C43D79">
            <w:pPr>
              <w:spacing w:after="0" w:line="240" w:lineRule="auto"/>
              <w:rPr>
                <w:b/>
                <w:bCs/>
                <w:color w:val="000000"/>
                <w:sz w:val="14"/>
                <w:lang w:eastAsia="es-CO"/>
              </w:rPr>
            </w:pPr>
            <w:r w:rsidRPr="00C43D79">
              <w:rPr>
                <w:b/>
                <w:bCs/>
                <w:color w:val="000000"/>
                <w:sz w:val="14"/>
                <w:lang w:eastAsia="es-CO"/>
              </w:rPr>
              <w:t>Hasta</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0E2CE0C" w14:textId="77777777" w:rsidR="00C43D79" w:rsidRPr="00C43D79" w:rsidRDefault="00C43D79" w:rsidP="00C43D79">
            <w:pPr>
              <w:spacing w:after="0" w:line="240" w:lineRule="auto"/>
              <w:rPr>
                <w:b/>
                <w:bCs/>
                <w:color w:val="000000"/>
                <w:sz w:val="14"/>
                <w:lang w:eastAsia="es-CO"/>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14:paraId="780789D5" w14:textId="77777777" w:rsidR="00C43D79" w:rsidRPr="00C43D79" w:rsidRDefault="00C43D79" w:rsidP="00C43D79">
            <w:pPr>
              <w:spacing w:after="0" w:line="240" w:lineRule="auto"/>
              <w:rPr>
                <w:b/>
                <w:bCs/>
                <w:color w:val="000000"/>
                <w:sz w:val="14"/>
                <w:lang w:eastAsia="es-CO"/>
              </w:rPr>
            </w:pPr>
          </w:p>
        </w:tc>
      </w:tr>
      <w:tr w:rsidR="00C43D79" w:rsidRPr="00C43D79" w14:paraId="24B73557" w14:textId="77777777" w:rsidTr="001B102E">
        <w:trPr>
          <w:trHeight w:val="134"/>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14:paraId="29830005" w14:textId="77777777" w:rsidR="00C43D79" w:rsidRPr="00C43D79" w:rsidRDefault="00C43D79" w:rsidP="00C43D79">
            <w:pPr>
              <w:spacing w:after="0" w:line="240" w:lineRule="auto"/>
              <w:rPr>
                <w:b/>
                <w:bCs/>
                <w:color w:val="000000"/>
                <w:sz w:val="14"/>
                <w:lang w:eastAsia="es-CO"/>
              </w:rPr>
            </w:pPr>
            <w:r w:rsidRPr="00C43D79">
              <w:rPr>
                <w:b/>
                <w:bCs/>
                <w:color w:val="000000"/>
                <w:sz w:val="14"/>
                <w:lang w:eastAsia="es-CO"/>
              </w:rPr>
              <w:t>&gt;O</w:t>
            </w:r>
          </w:p>
        </w:tc>
        <w:tc>
          <w:tcPr>
            <w:tcW w:w="904" w:type="dxa"/>
            <w:tcBorders>
              <w:top w:val="nil"/>
              <w:left w:val="nil"/>
              <w:bottom w:val="single" w:sz="4" w:space="0" w:color="auto"/>
              <w:right w:val="single" w:sz="4" w:space="0" w:color="auto"/>
            </w:tcBorders>
            <w:shd w:val="clear" w:color="auto" w:fill="auto"/>
            <w:noWrap/>
            <w:vAlign w:val="bottom"/>
            <w:hideMark/>
          </w:tcPr>
          <w:p w14:paraId="21A48580" w14:textId="77777777" w:rsidR="00C43D79" w:rsidRPr="00C43D79" w:rsidRDefault="00C43D79" w:rsidP="00C43D79">
            <w:pPr>
              <w:spacing w:after="0" w:line="240" w:lineRule="auto"/>
              <w:jc w:val="right"/>
              <w:rPr>
                <w:b/>
                <w:bCs/>
                <w:color w:val="000000"/>
                <w:sz w:val="14"/>
                <w:lang w:eastAsia="es-CO"/>
              </w:rPr>
            </w:pPr>
            <w:r w:rsidRPr="00C43D79">
              <w:rPr>
                <w:b/>
                <w:bCs/>
                <w:color w:val="000000"/>
                <w:sz w:val="14"/>
                <w:lang w:eastAsia="es-CO"/>
              </w:rPr>
              <w:t>600</w:t>
            </w:r>
          </w:p>
        </w:tc>
        <w:tc>
          <w:tcPr>
            <w:tcW w:w="1080" w:type="dxa"/>
            <w:tcBorders>
              <w:top w:val="nil"/>
              <w:left w:val="nil"/>
              <w:bottom w:val="single" w:sz="4" w:space="0" w:color="auto"/>
              <w:right w:val="single" w:sz="4" w:space="0" w:color="auto"/>
            </w:tcBorders>
            <w:shd w:val="clear" w:color="auto" w:fill="auto"/>
            <w:noWrap/>
            <w:vAlign w:val="bottom"/>
            <w:hideMark/>
          </w:tcPr>
          <w:p w14:paraId="3FA2567E" w14:textId="77777777" w:rsidR="00C43D79" w:rsidRPr="00C43D79" w:rsidRDefault="00C43D79" w:rsidP="00C43D79">
            <w:pPr>
              <w:spacing w:after="0" w:line="240" w:lineRule="auto"/>
              <w:jc w:val="right"/>
              <w:rPr>
                <w:b/>
                <w:bCs/>
                <w:color w:val="000000"/>
                <w:sz w:val="14"/>
                <w:lang w:eastAsia="es-CO"/>
              </w:rPr>
            </w:pPr>
            <w:r w:rsidRPr="00C43D79">
              <w:rPr>
                <w:b/>
                <w:bCs/>
                <w:color w:val="000000"/>
                <w:sz w:val="14"/>
                <w:lang w:eastAsia="es-CO"/>
              </w:rPr>
              <w:t>0%</w:t>
            </w:r>
          </w:p>
        </w:tc>
        <w:tc>
          <w:tcPr>
            <w:tcW w:w="1319" w:type="dxa"/>
            <w:tcBorders>
              <w:top w:val="nil"/>
              <w:left w:val="nil"/>
              <w:bottom w:val="single" w:sz="4" w:space="0" w:color="auto"/>
              <w:right w:val="single" w:sz="4" w:space="0" w:color="auto"/>
            </w:tcBorders>
            <w:shd w:val="clear" w:color="auto" w:fill="auto"/>
            <w:noWrap/>
            <w:vAlign w:val="bottom"/>
            <w:hideMark/>
          </w:tcPr>
          <w:p w14:paraId="51DCF531" w14:textId="77777777" w:rsidR="00C43D79" w:rsidRPr="00C43D79" w:rsidRDefault="00C43D79" w:rsidP="00C43D79">
            <w:pPr>
              <w:spacing w:after="0" w:line="240" w:lineRule="auto"/>
              <w:jc w:val="right"/>
              <w:rPr>
                <w:b/>
                <w:bCs/>
                <w:color w:val="000000"/>
                <w:sz w:val="14"/>
                <w:lang w:eastAsia="es-CO"/>
              </w:rPr>
            </w:pPr>
            <w:r w:rsidRPr="00C43D79">
              <w:rPr>
                <w:b/>
                <w:bCs/>
                <w:color w:val="000000"/>
                <w:sz w:val="14"/>
                <w:lang w:eastAsia="es-CO"/>
              </w:rPr>
              <w:t>0</w:t>
            </w:r>
          </w:p>
        </w:tc>
      </w:tr>
      <w:tr w:rsidR="00C43D79" w:rsidRPr="00C43D79" w14:paraId="21FFAF77" w14:textId="77777777" w:rsidTr="001B102E">
        <w:trPr>
          <w:trHeight w:val="134"/>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14:paraId="23860A99" w14:textId="77777777" w:rsidR="00C43D79" w:rsidRPr="00C43D79" w:rsidRDefault="00C43D79" w:rsidP="00C43D79">
            <w:pPr>
              <w:spacing w:after="0" w:line="240" w:lineRule="auto"/>
              <w:rPr>
                <w:b/>
                <w:bCs/>
                <w:color w:val="000000"/>
                <w:sz w:val="14"/>
                <w:lang w:eastAsia="es-CO"/>
              </w:rPr>
            </w:pPr>
            <w:r w:rsidRPr="00C43D79">
              <w:rPr>
                <w:b/>
                <w:bCs/>
                <w:color w:val="000000"/>
                <w:sz w:val="14"/>
                <w:lang w:eastAsia="es-CO"/>
              </w:rPr>
              <w:t>&gt;600</w:t>
            </w:r>
          </w:p>
        </w:tc>
        <w:tc>
          <w:tcPr>
            <w:tcW w:w="904" w:type="dxa"/>
            <w:tcBorders>
              <w:top w:val="nil"/>
              <w:left w:val="nil"/>
              <w:bottom w:val="single" w:sz="4" w:space="0" w:color="auto"/>
              <w:right w:val="single" w:sz="4" w:space="0" w:color="auto"/>
            </w:tcBorders>
            <w:shd w:val="clear" w:color="auto" w:fill="auto"/>
            <w:noWrap/>
            <w:vAlign w:val="bottom"/>
            <w:hideMark/>
          </w:tcPr>
          <w:p w14:paraId="685147B4" w14:textId="77777777" w:rsidR="00C43D79" w:rsidRPr="00C43D79" w:rsidRDefault="00C43D79" w:rsidP="00C43D79">
            <w:pPr>
              <w:spacing w:after="0" w:line="240" w:lineRule="auto"/>
              <w:jc w:val="right"/>
              <w:rPr>
                <w:b/>
                <w:bCs/>
                <w:color w:val="000000"/>
                <w:sz w:val="14"/>
                <w:lang w:eastAsia="es-CO"/>
              </w:rPr>
            </w:pPr>
            <w:r w:rsidRPr="00C43D79">
              <w:rPr>
                <w:b/>
                <w:bCs/>
                <w:color w:val="000000"/>
                <w:sz w:val="14"/>
                <w:lang w:eastAsia="es-CO"/>
              </w:rPr>
              <w:t>1000</w:t>
            </w:r>
          </w:p>
        </w:tc>
        <w:tc>
          <w:tcPr>
            <w:tcW w:w="1080" w:type="dxa"/>
            <w:tcBorders>
              <w:top w:val="nil"/>
              <w:left w:val="nil"/>
              <w:bottom w:val="single" w:sz="4" w:space="0" w:color="auto"/>
              <w:right w:val="single" w:sz="4" w:space="0" w:color="auto"/>
            </w:tcBorders>
            <w:shd w:val="clear" w:color="auto" w:fill="auto"/>
            <w:noWrap/>
            <w:vAlign w:val="bottom"/>
            <w:hideMark/>
          </w:tcPr>
          <w:p w14:paraId="1138A01B" w14:textId="77777777" w:rsidR="00C43D79" w:rsidRPr="00C43D79" w:rsidRDefault="00C43D79" w:rsidP="00C43D79">
            <w:pPr>
              <w:spacing w:after="0" w:line="240" w:lineRule="auto"/>
              <w:jc w:val="right"/>
              <w:rPr>
                <w:b/>
                <w:bCs/>
                <w:color w:val="000000"/>
                <w:sz w:val="14"/>
                <w:lang w:eastAsia="es-CO"/>
              </w:rPr>
            </w:pPr>
            <w:r w:rsidRPr="00C43D79">
              <w:rPr>
                <w:b/>
                <w:bCs/>
                <w:color w:val="000000"/>
                <w:sz w:val="14"/>
                <w:lang w:eastAsia="es-CO"/>
              </w:rPr>
              <w:t>5%</w:t>
            </w:r>
          </w:p>
        </w:tc>
        <w:tc>
          <w:tcPr>
            <w:tcW w:w="1319" w:type="dxa"/>
            <w:tcBorders>
              <w:top w:val="nil"/>
              <w:left w:val="nil"/>
              <w:bottom w:val="single" w:sz="4" w:space="0" w:color="auto"/>
              <w:right w:val="single" w:sz="4" w:space="0" w:color="auto"/>
            </w:tcBorders>
            <w:shd w:val="clear" w:color="auto" w:fill="auto"/>
            <w:noWrap/>
            <w:vAlign w:val="bottom"/>
            <w:hideMark/>
          </w:tcPr>
          <w:p w14:paraId="4462EBDF" w14:textId="77777777" w:rsidR="00C43D79" w:rsidRPr="00C43D79" w:rsidRDefault="00C43D79" w:rsidP="00C43D79">
            <w:pPr>
              <w:spacing w:after="0" w:line="240" w:lineRule="auto"/>
              <w:rPr>
                <w:b/>
                <w:bCs/>
                <w:color w:val="000000"/>
                <w:sz w:val="14"/>
                <w:lang w:eastAsia="es-CO"/>
              </w:rPr>
            </w:pPr>
            <w:r w:rsidRPr="00C43D79">
              <w:rPr>
                <w:b/>
                <w:bCs/>
                <w:color w:val="000000"/>
                <w:sz w:val="14"/>
                <w:lang w:eastAsia="es-CO"/>
              </w:rPr>
              <w:t>(Dividendos en UVT menos 600 UVT) X 5%</w:t>
            </w:r>
          </w:p>
        </w:tc>
      </w:tr>
      <w:tr w:rsidR="00C43D79" w:rsidRPr="00C43D79" w14:paraId="2171407A" w14:textId="77777777" w:rsidTr="001B102E">
        <w:trPr>
          <w:trHeight w:val="269"/>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14:paraId="68FB3FD2" w14:textId="77777777" w:rsidR="00C43D79" w:rsidRPr="00C43D79" w:rsidRDefault="00C43D79" w:rsidP="00C43D79">
            <w:pPr>
              <w:spacing w:after="0" w:line="240" w:lineRule="auto"/>
              <w:rPr>
                <w:b/>
                <w:bCs/>
                <w:color w:val="000000"/>
                <w:sz w:val="14"/>
                <w:lang w:eastAsia="es-CO"/>
              </w:rPr>
            </w:pPr>
            <w:r w:rsidRPr="00C43D79">
              <w:rPr>
                <w:b/>
                <w:bCs/>
                <w:color w:val="000000"/>
                <w:sz w:val="14"/>
                <w:lang w:eastAsia="es-CO"/>
              </w:rPr>
              <w:t>&gt;1000</w:t>
            </w:r>
          </w:p>
        </w:tc>
        <w:tc>
          <w:tcPr>
            <w:tcW w:w="904" w:type="dxa"/>
            <w:tcBorders>
              <w:top w:val="nil"/>
              <w:left w:val="nil"/>
              <w:bottom w:val="single" w:sz="4" w:space="0" w:color="auto"/>
              <w:right w:val="single" w:sz="4" w:space="0" w:color="auto"/>
            </w:tcBorders>
            <w:shd w:val="clear" w:color="auto" w:fill="auto"/>
            <w:noWrap/>
            <w:vAlign w:val="bottom"/>
            <w:hideMark/>
          </w:tcPr>
          <w:p w14:paraId="09CC4218" w14:textId="77777777" w:rsidR="00C43D79" w:rsidRPr="00C43D79" w:rsidRDefault="00C43D79" w:rsidP="00C43D79">
            <w:pPr>
              <w:spacing w:after="0" w:line="240" w:lineRule="auto"/>
              <w:rPr>
                <w:b/>
                <w:bCs/>
                <w:color w:val="000000"/>
                <w:sz w:val="14"/>
                <w:lang w:eastAsia="es-CO"/>
              </w:rPr>
            </w:pPr>
            <w:r w:rsidRPr="00C43D79">
              <w:rPr>
                <w:b/>
                <w:bCs/>
                <w:color w:val="000000"/>
                <w:sz w:val="14"/>
                <w:lang w:eastAsia="es-CO"/>
              </w:rPr>
              <w:t>En Adelante</w:t>
            </w:r>
          </w:p>
        </w:tc>
        <w:tc>
          <w:tcPr>
            <w:tcW w:w="1080" w:type="dxa"/>
            <w:tcBorders>
              <w:top w:val="nil"/>
              <w:left w:val="nil"/>
              <w:bottom w:val="single" w:sz="4" w:space="0" w:color="auto"/>
              <w:right w:val="single" w:sz="4" w:space="0" w:color="auto"/>
            </w:tcBorders>
            <w:shd w:val="clear" w:color="auto" w:fill="auto"/>
            <w:noWrap/>
            <w:vAlign w:val="bottom"/>
            <w:hideMark/>
          </w:tcPr>
          <w:p w14:paraId="7C104E49" w14:textId="77777777" w:rsidR="00C43D79" w:rsidRPr="00C43D79" w:rsidRDefault="00C43D79" w:rsidP="00C43D79">
            <w:pPr>
              <w:spacing w:after="0" w:line="240" w:lineRule="auto"/>
              <w:jc w:val="right"/>
              <w:rPr>
                <w:b/>
                <w:bCs/>
                <w:color w:val="000000"/>
                <w:sz w:val="14"/>
                <w:lang w:eastAsia="es-CO"/>
              </w:rPr>
            </w:pPr>
            <w:r w:rsidRPr="00C43D79">
              <w:rPr>
                <w:b/>
                <w:bCs/>
                <w:color w:val="000000"/>
                <w:sz w:val="14"/>
                <w:lang w:eastAsia="es-CO"/>
              </w:rPr>
              <w:t>10%</w:t>
            </w:r>
          </w:p>
        </w:tc>
        <w:tc>
          <w:tcPr>
            <w:tcW w:w="1319" w:type="dxa"/>
            <w:tcBorders>
              <w:top w:val="nil"/>
              <w:left w:val="nil"/>
              <w:bottom w:val="single" w:sz="4" w:space="0" w:color="auto"/>
              <w:right w:val="single" w:sz="4" w:space="0" w:color="auto"/>
            </w:tcBorders>
            <w:shd w:val="clear" w:color="auto" w:fill="auto"/>
            <w:noWrap/>
            <w:vAlign w:val="bottom"/>
            <w:hideMark/>
          </w:tcPr>
          <w:p w14:paraId="18982FDF" w14:textId="77777777" w:rsidR="00C43D79" w:rsidRPr="00C43D79" w:rsidRDefault="00C43D79" w:rsidP="00C43D79">
            <w:pPr>
              <w:spacing w:after="0" w:line="240" w:lineRule="auto"/>
              <w:rPr>
                <w:b/>
                <w:bCs/>
                <w:color w:val="000000"/>
                <w:sz w:val="14"/>
                <w:lang w:eastAsia="es-CO"/>
              </w:rPr>
            </w:pPr>
            <w:r w:rsidRPr="00C43D79">
              <w:rPr>
                <w:b/>
                <w:bCs/>
                <w:color w:val="000000"/>
                <w:sz w:val="14"/>
                <w:lang w:eastAsia="es-CO"/>
              </w:rPr>
              <w:t>(Dividendos en UVT menos 1.000 UVT) x 10% + 20 UVT</w:t>
            </w:r>
          </w:p>
        </w:tc>
      </w:tr>
    </w:tbl>
    <w:p w14:paraId="10C34038" w14:textId="336E91A2" w:rsidR="00C43D79" w:rsidRPr="00C43D79" w:rsidRDefault="00C43D79" w:rsidP="00C43D79">
      <w:pPr>
        <w:ind w:right="-613"/>
      </w:pPr>
      <w:r w:rsidRPr="00C43D79">
        <w:t>Para los demás contribuyentes la tributación de los dividendos y participaciones</w:t>
      </w:r>
      <w:r w:rsidR="009716CA">
        <w:t xml:space="preserve"> serí</w:t>
      </w:r>
      <w:r w:rsidRPr="00C43D79">
        <w:t xml:space="preserve">a: </w:t>
      </w:r>
    </w:p>
    <w:tbl>
      <w:tblPr>
        <w:tblW w:w="4526" w:type="dxa"/>
        <w:tblCellMar>
          <w:left w:w="70" w:type="dxa"/>
          <w:right w:w="70" w:type="dxa"/>
        </w:tblCellMar>
        <w:tblLook w:val="04A0" w:firstRow="1" w:lastRow="0" w:firstColumn="1" w:lastColumn="0" w:noHBand="0" w:noVBand="1"/>
      </w:tblPr>
      <w:tblGrid>
        <w:gridCol w:w="1627"/>
        <w:gridCol w:w="766"/>
        <w:gridCol w:w="2133"/>
      </w:tblGrid>
      <w:tr w:rsidR="00C43D79" w:rsidRPr="00C43D79" w14:paraId="6358D703" w14:textId="77777777" w:rsidTr="009716CA">
        <w:trPr>
          <w:trHeight w:val="812"/>
        </w:trPr>
        <w:tc>
          <w:tcPr>
            <w:tcW w:w="1675" w:type="dxa"/>
            <w:tcBorders>
              <w:top w:val="single" w:sz="8" w:space="0" w:color="auto"/>
              <w:left w:val="single" w:sz="8" w:space="0" w:color="auto"/>
              <w:bottom w:val="single" w:sz="4" w:space="0" w:color="auto"/>
              <w:right w:val="single" w:sz="4" w:space="0" w:color="auto"/>
            </w:tcBorders>
            <w:shd w:val="clear" w:color="000000" w:fill="FCD5B4"/>
            <w:vAlign w:val="bottom"/>
            <w:hideMark/>
          </w:tcPr>
          <w:p w14:paraId="2D836B27" w14:textId="77777777" w:rsidR="00C43D79" w:rsidRPr="00C43D79" w:rsidRDefault="00C43D79" w:rsidP="00C43D79">
            <w:pPr>
              <w:spacing w:after="0" w:line="240" w:lineRule="auto"/>
              <w:jc w:val="center"/>
              <w:rPr>
                <w:b/>
                <w:bCs/>
                <w:color w:val="000000"/>
                <w:sz w:val="16"/>
                <w:szCs w:val="16"/>
                <w:lang w:eastAsia="es-CO"/>
              </w:rPr>
            </w:pPr>
            <w:r w:rsidRPr="00C43D79">
              <w:rPr>
                <w:b/>
                <w:bCs/>
                <w:color w:val="000000"/>
                <w:sz w:val="16"/>
                <w:szCs w:val="16"/>
                <w:lang w:eastAsia="es-CO"/>
              </w:rPr>
              <w:t>Dividendos y participaciones Percibidos por:</w:t>
            </w:r>
          </w:p>
        </w:tc>
        <w:tc>
          <w:tcPr>
            <w:tcW w:w="583" w:type="dxa"/>
            <w:tcBorders>
              <w:top w:val="single" w:sz="8" w:space="0" w:color="auto"/>
              <w:left w:val="nil"/>
              <w:bottom w:val="single" w:sz="4" w:space="0" w:color="auto"/>
              <w:right w:val="single" w:sz="4" w:space="0" w:color="auto"/>
            </w:tcBorders>
            <w:shd w:val="clear" w:color="000000" w:fill="FCD5B4"/>
            <w:noWrap/>
            <w:vAlign w:val="bottom"/>
            <w:hideMark/>
          </w:tcPr>
          <w:p w14:paraId="25B28399" w14:textId="77777777" w:rsidR="00C43D79" w:rsidRPr="00C43D79" w:rsidRDefault="00C43D79" w:rsidP="00C43D79">
            <w:pPr>
              <w:spacing w:after="0" w:line="240" w:lineRule="auto"/>
              <w:jc w:val="center"/>
              <w:rPr>
                <w:b/>
                <w:bCs/>
                <w:color w:val="000000"/>
                <w:sz w:val="16"/>
                <w:szCs w:val="16"/>
                <w:lang w:eastAsia="es-CO"/>
              </w:rPr>
            </w:pPr>
            <w:r w:rsidRPr="00C43D79">
              <w:rPr>
                <w:b/>
                <w:bCs/>
                <w:color w:val="000000"/>
                <w:sz w:val="16"/>
                <w:szCs w:val="16"/>
                <w:lang w:eastAsia="es-CO"/>
              </w:rPr>
              <w:t>Tarifa</w:t>
            </w:r>
          </w:p>
        </w:tc>
        <w:tc>
          <w:tcPr>
            <w:tcW w:w="2268" w:type="dxa"/>
            <w:tcBorders>
              <w:top w:val="single" w:sz="8" w:space="0" w:color="auto"/>
              <w:left w:val="nil"/>
              <w:bottom w:val="single" w:sz="4" w:space="0" w:color="auto"/>
              <w:right w:val="single" w:sz="8" w:space="0" w:color="auto"/>
            </w:tcBorders>
            <w:shd w:val="clear" w:color="000000" w:fill="FCD5B4"/>
            <w:vAlign w:val="bottom"/>
            <w:hideMark/>
          </w:tcPr>
          <w:p w14:paraId="4C6F428C" w14:textId="77777777" w:rsidR="00C43D79" w:rsidRPr="00C43D79" w:rsidRDefault="00C43D79" w:rsidP="00C43D79">
            <w:pPr>
              <w:spacing w:after="0" w:line="240" w:lineRule="auto"/>
              <w:jc w:val="center"/>
              <w:rPr>
                <w:b/>
                <w:bCs/>
                <w:color w:val="000000"/>
                <w:sz w:val="16"/>
                <w:szCs w:val="16"/>
                <w:lang w:eastAsia="es-CO"/>
              </w:rPr>
            </w:pPr>
            <w:r w:rsidRPr="00C43D79">
              <w:rPr>
                <w:b/>
                <w:bCs/>
                <w:color w:val="000000"/>
                <w:sz w:val="16"/>
                <w:szCs w:val="16"/>
                <w:lang w:eastAsia="es-CO"/>
              </w:rPr>
              <w:t>Reforma</w:t>
            </w:r>
          </w:p>
        </w:tc>
      </w:tr>
      <w:tr w:rsidR="00C43D79" w:rsidRPr="00C43D79" w14:paraId="4E9C75DE" w14:textId="77777777" w:rsidTr="009716CA">
        <w:trPr>
          <w:trHeight w:val="290"/>
        </w:trPr>
        <w:tc>
          <w:tcPr>
            <w:tcW w:w="1675" w:type="dxa"/>
            <w:tcBorders>
              <w:top w:val="nil"/>
              <w:left w:val="single" w:sz="8" w:space="0" w:color="auto"/>
              <w:bottom w:val="single" w:sz="4" w:space="0" w:color="auto"/>
              <w:right w:val="single" w:sz="4" w:space="0" w:color="auto"/>
            </w:tcBorders>
            <w:shd w:val="clear" w:color="auto" w:fill="auto"/>
            <w:vAlign w:val="bottom"/>
            <w:hideMark/>
          </w:tcPr>
          <w:p w14:paraId="623D8C58" w14:textId="77777777" w:rsidR="00C43D79" w:rsidRPr="00C43D79" w:rsidRDefault="00C43D79" w:rsidP="00C43D79">
            <w:pPr>
              <w:spacing w:after="0" w:line="240" w:lineRule="auto"/>
              <w:rPr>
                <w:color w:val="000000"/>
                <w:sz w:val="16"/>
                <w:szCs w:val="16"/>
                <w:lang w:eastAsia="es-CO"/>
              </w:rPr>
            </w:pPr>
            <w:r w:rsidRPr="00C43D79">
              <w:rPr>
                <w:color w:val="000000"/>
                <w:sz w:val="16"/>
                <w:szCs w:val="16"/>
                <w:lang w:eastAsia="es-CO"/>
              </w:rPr>
              <w:t xml:space="preserve">Sociedades Nacionales </w:t>
            </w:r>
          </w:p>
        </w:tc>
        <w:tc>
          <w:tcPr>
            <w:tcW w:w="583" w:type="dxa"/>
            <w:tcBorders>
              <w:top w:val="nil"/>
              <w:left w:val="nil"/>
              <w:bottom w:val="single" w:sz="4" w:space="0" w:color="auto"/>
              <w:right w:val="single" w:sz="4" w:space="0" w:color="auto"/>
            </w:tcBorders>
            <w:shd w:val="clear" w:color="auto" w:fill="auto"/>
            <w:noWrap/>
            <w:vAlign w:val="bottom"/>
            <w:hideMark/>
          </w:tcPr>
          <w:p w14:paraId="6E3DE847" w14:textId="77777777" w:rsidR="00C43D79" w:rsidRPr="00C43D79" w:rsidRDefault="00C43D79" w:rsidP="00C43D79">
            <w:pPr>
              <w:spacing w:after="0" w:line="240" w:lineRule="auto"/>
              <w:jc w:val="center"/>
              <w:rPr>
                <w:color w:val="000000"/>
                <w:sz w:val="16"/>
                <w:szCs w:val="16"/>
                <w:lang w:eastAsia="es-CO"/>
              </w:rPr>
            </w:pPr>
            <w:r w:rsidRPr="00C43D79">
              <w:rPr>
                <w:color w:val="000000"/>
                <w:sz w:val="16"/>
                <w:szCs w:val="16"/>
                <w:lang w:eastAsia="es-CO"/>
              </w:rPr>
              <w:t>INCRNGO</w:t>
            </w:r>
          </w:p>
        </w:tc>
        <w:tc>
          <w:tcPr>
            <w:tcW w:w="2268" w:type="dxa"/>
            <w:tcBorders>
              <w:top w:val="nil"/>
              <w:left w:val="nil"/>
              <w:bottom w:val="single" w:sz="4" w:space="0" w:color="auto"/>
              <w:right w:val="single" w:sz="8" w:space="0" w:color="auto"/>
            </w:tcBorders>
            <w:shd w:val="clear" w:color="auto" w:fill="auto"/>
            <w:vAlign w:val="bottom"/>
            <w:hideMark/>
          </w:tcPr>
          <w:p w14:paraId="5804E39A" w14:textId="77777777" w:rsidR="00C43D79" w:rsidRPr="00C43D79" w:rsidRDefault="00C43D79" w:rsidP="00C43D79">
            <w:pPr>
              <w:spacing w:after="0" w:line="240" w:lineRule="auto"/>
              <w:rPr>
                <w:color w:val="000000"/>
                <w:sz w:val="16"/>
                <w:szCs w:val="16"/>
                <w:lang w:eastAsia="es-CO"/>
              </w:rPr>
            </w:pPr>
            <w:r w:rsidRPr="00C43D79">
              <w:rPr>
                <w:color w:val="000000"/>
                <w:sz w:val="16"/>
                <w:szCs w:val="16"/>
                <w:lang w:eastAsia="es-CO"/>
              </w:rPr>
              <w:t>Modifica inciso 1 del Art. 48 E.T.</w:t>
            </w:r>
          </w:p>
        </w:tc>
      </w:tr>
      <w:tr w:rsidR="00C43D79" w:rsidRPr="00C43D79" w14:paraId="776F45EC" w14:textId="77777777" w:rsidTr="009716CA">
        <w:trPr>
          <w:trHeight w:val="290"/>
        </w:trPr>
        <w:tc>
          <w:tcPr>
            <w:tcW w:w="1675" w:type="dxa"/>
            <w:tcBorders>
              <w:top w:val="nil"/>
              <w:left w:val="single" w:sz="8" w:space="0" w:color="auto"/>
              <w:bottom w:val="single" w:sz="4" w:space="0" w:color="auto"/>
              <w:right w:val="single" w:sz="4" w:space="0" w:color="auto"/>
            </w:tcBorders>
            <w:shd w:val="clear" w:color="auto" w:fill="auto"/>
            <w:vAlign w:val="bottom"/>
            <w:hideMark/>
          </w:tcPr>
          <w:p w14:paraId="6362A734" w14:textId="77777777" w:rsidR="00C43D79" w:rsidRPr="00C43D79" w:rsidRDefault="00C43D79" w:rsidP="00C43D79">
            <w:pPr>
              <w:spacing w:after="0" w:line="240" w:lineRule="auto"/>
              <w:rPr>
                <w:color w:val="000000"/>
                <w:sz w:val="16"/>
                <w:szCs w:val="16"/>
                <w:lang w:eastAsia="es-CO"/>
              </w:rPr>
            </w:pPr>
            <w:r w:rsidRPr="00C43D79">
              <w:rPr>
                <w:color w:val="000000"/>
                <w:sz w:val="16"/>
                <w:szCs w:val="16"/>
                <w:lang w:eastAsia="es-CO"/>
              </w:rPr>
              <w:t xml:space="preserve">Personas Naturales Residentes </w:t>
            </w:r>
          </w:p>
        </w:tc>
        <w:tc>
          <w:tcPr>
            <w:tcW w:w="583" w:type="dxa"/>
            <w:tcBorders>
              <w:top w:val="nil"/>
              <w:left w:val="nil"/>
              <w:bottom w:val="single" w:sz="4" w:space="0" w:color="auto"/>
              <w:right w:val="single" w:sz="4" w:space="0" w:color="auto"/>
            </w:tcBorders>
            <w:shd w:val="clear" w:color="auto" w:fill="auto"/>
            <w:noWrap/>
            <w:vAlign w:val="bottom"/>
            <w:hideMark/>
          </w:tcPr>
          <w:p w14:paraId="5AB562C3" w14:textId="77777777" w:rsidR="00C43D79" w:rsidRPr="00C43D79" w:rsidRDefault="00C43D79" w:rsidP="00C43D79">
            <w:pPr>
              <w:spacing w:after="0" w:line="240" w:lineRule="auto"/>
              <w:jc w:val="center"/>
              <w:rPr>
                <w:color w:val="000000"/>
                <w:sz w:val="16"/>
                <w:szCs w:val="16"/>
                <w:lang w:eastAsia="es-CO"/>
              </w:rPr>
            </w:pPr>
            <w:r w:rsidRPr="00C43D79">
              <w:rPr>
                <w:color w:val="000000"/>
                <w:sz w:val="16"/>
                <w:szCs w:val="16"/>
                <w:lang w:eastAsia="es-CO"/>
              </w:rPr>
              <w:t>35%</w:t>
            </w:r>
          </w:p>
        </w:tc>
        <w:tc>
          <w:tcPr>
            <w:tcW w:w="2268" w:type="dxa"/>
            <w:tcBorders>
              <w:top w:val="nil"/>
              <w:left w:val="nil"/>
              <w:bottom w:val="single" w:sz="4" w:space="0" w:color="auto"/>
              <w:right w:val="single" w:sz="8" w:space="0" w:color="auto"/>
            </w:tcBorders>
            <w:shd w:val="clear" w:color="auto" w:fill="auto"/>
            <w:vAlign w:val="bottom"/>
            <w:hideMark/>
          </w:tcPr>
          <w:p w14:paraId="7B9AA9C1" w14:textId="77777777" w:rsidR="00C43D79" w:rsidRPr="00C43D79" w:rsidRDefault="00C43D79" w:rsidP="00C43D79">
            <w:pPr>
              <w:spacing w:after="0" w:line="240" w:lineRule="auto"/>
              <w:rPr>
                <w:color w:val="000000"/>
                <w:sz w:val="16"/>
                <w:szCs w:val="16"/>
                <w:lang w:eastAsia="es-CO"/>
              </w:rPr>
            </w:pPr>
            <w:r w:rsidRPr="00C43D79">
              <w:rPr>
                <w:color w:val="000000"/>
                <w:sz w:val="16"/>
                <w:szCs w:val="16"/>
                <w:lang w:eastAsia="es-CO"/>
              </w:rPr>
              <w:t>Según parágrafo 2 del art. 49 Gravados</w:t>
            </w:r>
          </w:p>
        </w:tc>
      </w:tr>
      <w:tr w:rsidR="00C43D79" w:rsidRPr="00C43D79" w14:paraId="58A039D6" w14:textId="77777777" w:rsidTr="009716CA">
        <w:trPr>
          <w:trHeight w:val="507"/>
        </w:trPr>
        <w:tc>
          <w:tcPr>
            <w:tcW w:w="1675" w:type="dxa"/>
            <w:tcBorders>
              <w:top w:val="nil"/>
              <w:left w:val="single" w:sz="8" w:space="0" w:color="auto"/>
              <w:bottom w:val="single" w:sz="4" w:space="0" w:color="auto"/>
              <w:right w:val="single" w:sz="4" w:space="0" w:color="auto"/>
            </w:tcBorders>
            <w:shd w:val="clear" w:color="auto" w:fill="auto"/>
            <w:vAlign w:val="bottom"/>
            <w:hideMark/>
          </w:tcPr>
          <w:p w14:paraId="02DA75D6" w14:textId="77777777" w:rsidR="00C43D79" w:rsidRPr="00C43D79" w:rsidRDefault="00C43D79" w:rsidP="00C43D79">
            <w:pPr>
              <w:spacing w:after="0" w:line="240" w:lineRule="auto"/>
              <w:rPr>
                <w:color w:val="000000"/>
                <w:sz w:val="16"/>
                <w:szCs w:val="16"/>
                <w:lang w:eastAsia="es-CO"/>
              </w:rPr>
            </w:pPr>
            <w:r w:rsidRPr="00C43D79">
              <w:rPr>
                <w:color w:val="000000"/>
                <w:sz w:val="16"/>
                <w:szCs w:val="16"/>
                <w:lang w:eastAsia="es-CO"/>
              </w:rPr>
              <w:t>Sociedades y Entidades Extranjeras Residentes</w:t>
            </w:r>
          </w:p>
        </w:tc>
        <w:tc>
          <w:tcPr>
            <w:tcW w:w="583" w:type="dxa"/>
            <w:tcBorders>
              <w:top w:val="nil"/>
              <w:left w:val="nil"/>
              <w:bottom w:val="single" w:sz="4" w:space="0" w:color="auto"/>
              <w:right w:val="single" w:sz="4" w:space="0" w:color="auto"/>
            </w:tcBorders>
            <w:shd w:val="clear" w:color="auto" w:fill="auto"/>
            <w:noWrap/>
            <w:vAlign w:val="bottom"/>
            <w:hideMark/>
          </w:tcPr>
          <w:p w14:paraId="11E7330A" w14:textId="77777777" w:rsidR="00C43D79" w:rsidRPr="00C43D79" w:rsidRDefault="00C43D79" w:rsidP="00C43D79">
            <w:pPr>
              <w:spacing w:after="0" w:line="240" w:lineRule="auto"/>
              <w:jc w:val="center"/>
              <w:rPr>
                <w:color w:val="000000"/>
                <w:sz w:val="16"/>
                <w:szCs w:val="16"/>
                <w:lang w:eastAsia="es-CO"/>
              </w:rPr>
            </w:pPr>
            <w:r w:rsidRPr="00C43D79">
              <w:rPr>
                <w:color w:val="000000"/>
                <w:sz w:val="16"/>
                <w:szCs w:val="16"/>
                <w:lang w:eastAsia="es-CO"/>
              </w:rPr>
              <w:t>35%</w:t>
            </w:r>
          </w:p>
        </w:tc>
        <w:tc>
          <w:tcPr>
            <w:tcW w:w="2268" w:type="dxa"/>
            <w:tcBorders>
              <w:top w:val="nil"/>
              <w:left w:val="nil"/>
              <w:bottom w:val="single" w:sz="4" w:space="0" w:color="auto"/>
              <w:right w:val="single" w:sz="8" w:space="0" w:color="auto"/>
            </w:tcBorders>
            <w:shd w:val="clear" w:color="auto" w:fill="auto"/>
            <w:vAlign w:val="bottom"/>
            <w:hideMark/>
          </w:tcPr>
          <w:p w14:paraId="6D9DC51F" w14:textId="77777777" w:rsidR="00C43D79" w:rsidRPr="00C43D79" w:rsidRDefault="00C43D79" w:rsidP="00C43D79">
            <w:pPr>
              <w:spacing w:after="0" w:line="240" w:lineRule="auto"/>
              <w:rPr>
                <w:color w:val="000000"/>
                <w:sz w:val="16"/>
                <w:szCs w:val="16"/>
                <w:lang w:eastAsia="es-CO"/>
              </w:rPr>
            </w:pPr>
            <w:r w:rsidRPr="00C43D79">
              <w:rPr>
                <w:color w:val="000000"/>
                <w:sz w:val="16"/>
                <w:szCs w:val="16"/>
                <w:lang w:eastAsia="es-CO"/>
              </w:rPr>
              <w:t>Art. 242 Como retención en la fuente. Inciso 2</w:t>
            </w:r>
          </w:p>
        </w:tc>
      </w:tr>
      <w:tr w:rsidR="00C43D79" w:rsidRPr="00C43D79" w14:paraId="4DB08274" w14:textId="77777777" w:rsidTr="009716CA">
        <w:trPr>
          <w:trHeight w:val="290"/>
        </w:trPr>
        <w:tc>
          <w:tcPr>
            <w:tcW w:w="1675" w:type="dxa"/>
            <w:vMerge w:val="restart"/>
            <w:tcBorders>
              <w:top w:val="nil"/>
              <w:left w:val="single" w:sz="8" w:space="0" w:color="auto"/>
              <w:bottom w:val="single" w:sz="4" w:space="0" w:color="000000"/>
              <w:right w:val="single" w:sz="4" w:space="0" w:color="auto"/>
            </w:tcBorders>
            <w:shd w:val="clear" w:color="auto" w:fill="auto"/>
            <w:vAlign w:val="center"/>
            <w:hideMark/>
          </w:tcPr>
          <w:p w14:paraId="15D79F16" w14:textId="77777777" w:rsidR="00C43D79" w:rsidRPr="00C43D79" w:rsidRDefault="00C43D79" w:rsidP="00C43D79">
            <w:pPr>
              <w:spacing w:after="0" w:line="240" w:lineRule="auto"/>
              <w:jc w:val="center"/>
              <w:rPr>
                <w:color w:val="000000"/>
                <w:sz w:val="16"/>
                <w:szCs w:val="16"/>
                <w:lang w:eastAsia="es-CO"/>
              </w:rPr>
            </w:pPr>
            <w:r w:rsidRPr="00C43D79">
              <w:rPr>
                <w:color w:val="000000"/>
                <w:sz w:val="16"/>
                <w:szCs w:val="16"/>
                <w:lang w:eastAsia="es-CO"/>
              </w:rPr>
              <w:t>Sociedades y Entidades Extranjeras y personas naturales No Residentes</w:t>
            </w:r>
          </w:p>
        </w:tc>
        <w:tc>
          <w:tcPr>
            <w:tcW w:w="583" w:type="dxa"/>
            <w:tcBorders>
              <w:top w:val="nil"/>
              <w:left w:val="nil"/>
              <w:bottom w:val="single" w:sz="4" w:space="0" w:color="auto"/>
              <w:right w:val="single" w:sz="4" w:space="0" w:color="auto"/>
            </w:tcBorders>
            <w:shd w:val="clear" w:color="auto" w:fill="auto"/>
            <w:noWrap/>
            <w:vAlign w:val="bottom"/>
            <w:hideMark/>
          </w:tcPr>
          <w:p w14:paraId="0BFEC864" w14:textId="77777777" w:rsidR="00C43D79" w:rsidRPr="00C43D79" w:rsidRDefault="00C43D79" w:rsidP="00C43D79">
            <w:pPr>
              <w:spacing w:after="0" w:line="240" w:lineRule="auto"/>
              <w:jc w:val="center"/>
              <w:rPr>
                <w:color w:val="000000"/>
                <w:sz w:val="16"/>
                <w:szCs w:val="16"/>
                <w:lang w:eastAsia="es-CO"/>
              </w:rPr>
            </w:pPr>
            <w:r w:rsidRPr="00C43D79">
              <w:rPr>
                <w:color w:val="000000"/>
                <w:sz w:val="16"/>
                <w:szCs w:val="16"/>
                <w:lang w:eastAsia="es-CO"/>
              </w:rPr>
              <w:t>10%</w:t>
            </w:r>
          </w:p>
        </w:tc>
        <w:tc>
          <w:tcPr>
            <w:tcW w:w="2268" w:type="dxa"/>
            <w:tcBorders>
              <w:top w:val="nil"/>
              <w:left w:val="nil"/>
              <w:bottom w:val="single" w:sz="4" w:space="0" w:color="auto"/>
              <w:right w:val="single" w:sz="8" w:space="0" w:color="auto"/>
            </w:tcBorders>
            <w:shd w:val="clear" w:color="auto" w:fill="auto"/>
            <w:vAlign w:val="bottom"/>
            <w:hideMark/>
          </w:tcPr>
          <w:p w14:paraId="485A5D0C" w14:textId="33D5CB98" w:rsidR="00C43D79" w:rsidRPr="00C43D79" w:rsidRDefault="00C43D79" w:rsidP="00C43D79">
            <w:pPr>
              <w:spacing w:after="0" w:line="240" w:lineRule="auto"/>
              <w:rPr>
                <w:color w:val="000000"/>
                <w:sz w:val="16"/>
                <w:szCs w:val="16"/>
                <w:lang w:eastAsia="es-CO"/>
              </w:rPr>
            </w:pPr>
            <w:r w:rsidRPr="00C43D79">
              <w:rPr>
                <w:color w:val="000000"/>
                <w:sz w:val="16"/>
                <w:szCs w:val="16"/>
                <w:lang w:eastAsia="es-CO"/>
              </w:rPr>
              <w:t>Si del cálculo art. 49 INCRNGO</w:t>
            </w:r>
          </w:p>
        </w:tc>
      </w:tr>
      <w:tr w:rsidR="00C43D79" w:rsidRPr="00C43D79" w14:paraId="7974D22A" w14:textId="77777777" w:rsidTr="009716CA">
        <w:trPr>
          <w:trHeight w:val="580"/>
        </w:trPr>
        <w:tc>
          <w:tcPr>
            <w:tcW w:w="1675" w:type="dxa"/>
            <w:vMerge/>
            <w:tcBorders>
              <w:top w:val="nil"/>
              <w:left w:val="single" w:sz="8" w:space="0" w:color="auto"/>
              <w:bottom w:val="single" w:sz="4" w:space="0" w:color="000000"/>
              <w:right w:val="single" w:sz="4" w:space="0" w:color="auto"/>
            </w:tcBorders>
            <w:vAlign w:val="center"/>
            <w:hideMark/>
          </w:tcPr>
          <w:p w14:paraId="078987F7" w14:textId="77777777" w:rsidR="00C43D79" w:rsidRPr="00C43D79" w:rsidRDefault="00C43D79" w:rsidP="00C43D79">
            <w:pPr>
              <w:spacing w:after="0" w:line="240" w:lineRule="auto"/>
              <w:rPr>
                <w:color w:val="000000"/>
                <w:sz w:val="16"/>
                <w:szCs w:val="16"/>
                <w:lang w:eastAsia="es-CO"/>
              </w:rPr>
            </w:pPr>
          </w:p>
        </w:tc>
        <w:tc>
          <w:tcPr>
            <w:tcW w:w="583" w:type="dxa"/>
            <w:tcBorders>
              <w:top w:val="nil"/>
              <w:left w:val="nil"/>
              <w:bottom w:val="single" w:sz="4" w:space="0" w:color="auto"/>
              <w:right w:val="single" w:sz="4" w:space="0" w:color="auto"/>
            </w:tcBorders>
            <w:shd w:val="clear" w:color="auto" w:fill="auto"/>
            <w:noWrap/>
            <w:vAlign w:val="bottom"/>
            <w:hideMark/>
          </w:tcPr>
          <w:p w14:paraId="4231D0D1" w14:textId="77777777" w:rsidR="00C43D79" w:rsidRPr="00C43D79" w:rsidRDefault="00C43D79" w:rsidP="00C43D79">
            <w:pPr>
              <w:spacing w:after="0" w:line="240" w:lineRule="auto"/>
              <w:jc w:val="center"/>
              <w:rPr>
                <w:color w:val="000000"/>
                <w:sz w:val="16"/>
                <w:szCs w:val="16"/>
                <w:lang w:eastAsia="es-CO"/>
              </w:rPr>
            </w:pPr>
            <w:r w:rsidRPr="00C43D79">
              <w:rPr>
                <w:color w:val="000000"/>
                <w:sz w:val="16"/>
                <w:szCs w:val="16"/>
                <w:lang w:eastAsia="es-CO"/>
              </w:rPr>
              <w:t>35%</w:t>
            </w:r>
          </w:p>
        </w:tc>
        <w:tc>
          <w:tcPr>
            <w:tcW w:w="2268" w:type="dxa"/>
            <w:tcBorders>
              <w:top w:val="nil"/>
              <w:left w:val="nil"/>
              <w:bottom w:val="single" w:sz="4" w:space="0" w:color="auto"/>
              <w:right w:val="single" w:sz="8" w:space="0" w:color="auto"/>
            </w:tcBorders>
            <w:shd w:val="clear" w:color="auto" w:fill="auto"/>
            <w:vAlign w:val="bottom"/>
            <w:hideMark/>
          </w:tcPr>
          <w:p w14:paraId="0C24C3B6" w14:textId="77777777" w:rsidR="00C43D79" w:rsidRPr="00C43D79" w:rsidRDefault="00C43D79" w:rsidP="00C43D79">
            <w:pPr>
              <w:spacing w:after="0" w:line="240" w:lineRule="auto"/>
              <w:rPr>
                <w:color w:val="000000"/>
                <w:sz w:val="16"/>
                <w:szCs w:val="16"/>
                <w:lang w:eastAsia="es-CO"/>
              </w:rPr>
            </w:pPr>
            <w:r w:rsidRPr="00C43D79">
              <w:rPr>
                <w:color w:val="000000"/>
                <w:sz w:val="16"/>
                <w:szCs w:val="16"/>
                <w:lang w:eastAsia="es-CO"/>
              </w:rPr>
              <w:t>Si del cálculo Par. 2 art.49 el resultado fuera gravados. Retención Fuente</w:t>
            </w:r>
          </w:p>
        </w:tc>
      </w:tr>
      <w:tr w:rsidR="00C43D79" w:rsidRPr="00C43D79" w14:paraId="6117D76E" w14:textId="77777777" w:rsidTr="009716CA">
        <w:trPr>
          <w:trHeight w:val="290"/>
        </w:trPr>
        <w:tc>
          <w:tcPr>
            <w:tcW w:w="1675" w:type="dxa"/>
            <w:vMerge w:val="restart"/>
            <w:tcBorders>
              <w:top w:val="nil"/>
              <w:left w:val="single" w:sz="8" w:space="0" w:color="auto"/>
              <w:bottom w:val="single" w:sz="8" w:space="0" w:color="000000"/>
              <w:right w:val="single" w:sz="4" w:space="0" w:color="auto"/>
            </w:tcBorders>
            <w:shd w:val="clear" w:color="auto" w:fill="auto"/>
            <w:vAlign w:val="center"/>
            <w:hideMark/>
          </w:tcPr>
          <w:p w14:paraId="11AF862E" w14:textId="77777777" w:rsidR="00C43D79" w:rsidRPr="00C43D79" w:rsidRDefault="00C43D79" w:rsidP="00C43D79">
            <w:pPr>
              <w:spacing w:after="0" w:line="240" w:lineRule="auto"/>
              <w:jc w:val="center"/>
              <w:rPr>
                <w:color w:val="000000"/>
                <w:sz w:val="16"/>
                <w:szCs w:val="16"/>
                <w:lang w:eastAsia="es-CO"/>
              </w:rPr>
            </w:pPr>
            <w:r w:rsidRPr="00C43D79">
              <w:rPr>
                <w:color w:val="000000"/>
                <w:sz w:val="16"/>
                <w:szCs w:val="16"/>
                <w:lang w:eastAsia="es-CO"/>
              </w:rPr>
              <w:t>Sucursales de sociedades extranjeras</w:t>
            </w:r>
          </w:p>
        </w:tc>
        <w:tc>
          <w:tcPr>
            <w:tcW w:w="583" w:type="dxa"/>
            <w:tcBorders>
              <w:top w:val="nil"/>
              <w:left w:val="nil"/>
              <w:bottom w:val="single" w:sz="4" w:space="0" w:color="auto"/>
              <w:right w:val="single" w:sz="4" w:space="0" w:color="auto"/>
            </w:tcBorders>
            <w:shd w:val="clear" w:color="auto" w:fill="auto"/>
            <w:noWrap/>
            <w:vAlign w:val="bottom"/>
            <w:hideMark/>
          </w:tcPr>
          <w:p w14:paraId="15BB3C00" w14:textId="77777777" w:rsidR="00C43D79" w:rsidRPr="00C43D79" w:rsidRDefault="00C43D79" w:rsidP="00C43D79">
            <w:pPr>
              <w:spacing w:after="0" w:line="240" w:lineRule="auto"/>
              <w:jc w:val="center"/>
              <w:rPr>
                <w:color w:val="000000"/>
                <w:sz w:val="16"/>
                <w:szCs w:val="16"/>
                <w:lang w:eastAsia="es-CO"/>
              </w:rPr>
            </w:pPr>
            <w:r w:rsidRPr="00C43D79">
              <w:rPr>
                <w:color w:val="000000"/>
                <w:sz w:val="16"/>
                <w:szCs w:val="16"/>
                <w:lang w:eastAsia="es-CO"/>
              </w:rPr>
              <w:t>10%</w:t>
            </w:r>
          </w:p>
        </w:tc>
        <w:tc>
          <w:tcPr>
            <w:tcW w:w="2268" w:type="dxa"/>
            <w:tcBorders>
              <w:top w:val="nil"/>
              <w:left w:val="nil"/>
              <w:bottom w:val="single" w:sz="4" w:space="0" w:color="auto"/>
              <w:right w:val="single" w:sz="8" w:space="0" w:color="auto"/>
            </w:tcBorders>
            <w:shd w:val="clear" w:color="auto" w:fill="auto"/>
            <w:vAlign w:val="bottom"/>
            <w:hideMark/>
          </w:tcPr>
          <w:p w14:paraId="4AF982B3" w14:textId="2BF05498" w:rsidR="00C43D79" w:rsidRPr="00C43D79" w:rsidRDefault="00C43D79" w:rsidP="00C43D79">
            <w:pPr>
              <w:spacing w:after="0" w:line="240" w:lineRule="auto"/>
              <w:rPr>
                <w:color w:val="000000"/>
                <w:sz w:val="16"/>
                <w:szCs w:val="16"/>
                <w:lang w:eastAsia="es-CO"/>
              </w:rPr>
            </w:pPr>
            <w:r w:rsidRPr="00C43D79">
              <w:rPr>
                <w:color w:val="000000"/>
                <w:sz w:val="16"/>
                <w:szCs w:val="16"/>
                <w:lang w:eastAsia="es-CO"/>
              </w:rPr>
              <w:t>Si del cálculo art. 49 INCRNGO</w:t>
            </w:r>
          </w:p>
        </w:tc>
      </w:tr>
      <w:tr w:rsidR="00C43D79" w:rsidRPr="00C43D79" w14:paraId="480DCDED" w14:textId="77777777" w:rsidTr="009716CA">
        <w:trPr>
          <w:trHeight w:val="594"/>
        </w:trPr>
        <w:tc>
          <w:tcPr>
            <w:tcW w:w="1675" w:type="dxa"/>
            <w:vMerge/>
            <w:tcBorders>
              <w:top w:val="nil"/>
              <w:left w:val="single" w:sz="8" w:space="0" w:color="auto"/>
              <w:bottom w:val="single" w:sz="8" w:space="0" w:color="000000"/>
              <w:right w:val="single" w:sz="4" w:space="0" w:color="auto"/>
            </w:tcBorders>
            <w:vAlign w:val="center"/>
            <w:hideMark/>
          </w:tcPr>
          <w:p w14:paraId="6AB07EF6" w14:textId="77777777" w:rsidR="00C43D79" w:rsidRPr="00C43D79" w:rsidRDefault="00C43D79" w:rsidP="00C43D79">
            <w:pPr>
              <w:spacing w:after="0" w:line="240" w:lineRule="auto"/>
              <w:rPr>
                <w:color w:val="000000"/>
                <w:sz w:val="16"/>
                <w:szCs w:val="16"/>
                <w:lang w:eastAsia="es-CO"/>
              </w:rPr>
            </w:pPr>
          </w:p>
        </w:tc>
        <w:tc>
          <w:tcPr>
            <w:tcW w:w="583" w:type="dxa"/>
            <w:tcBorders>
              <w:top w:val="nil"/>
              <w:left w:val="nil"/>
              <w:bottom w:val="single" w:sz="8" w:space="0" w:color="auto"/>
              <w:right w:val="single" w:sz="4" w:space="0" w:color="auto"/>
            </w:tcBorders>
            <w:shd w:val="clear" w:color="auto" w:fill="auto"/>
            <w:noWrap/>
            <w:vAlign w:val="bottom"/>
            <w:hideMark/>
          </w:tcPr>
          <w:p w14:paraId="100381B5" w14:textId="77777777" w:rsidR="00C43D79" w:rsidRPr="00C43D79" w:rsidRDefault="00C43D79" w:rsidP="00C43D79">
            <w:pPr>
              <w:spacing w:after="0" w:line="240" w:lineRule="auto"/>
              <w:jc w:val="center"/>
              <w:rPr>
                <w:color w:val="000000"/>
                <w:sz w:val="16"/>
                <w:szCs w:val="16"/>
                <w:lang w:eastAsia="es-CO"/>
              </w:rPr>
            </w:pPr>
            <w:r w:rsidRPr="00C43D79">
              <w:rPr>
                <w:color w:val="000000"/>
                <w:sz w:val="16"/>
                <w:szCs w:val="16"/>
                <w:lang w:eastAsia="es-CO"/>
              </w:rPr>
              <w:t>35%</w:t>
            </w:r>
          </w:p>
        </w:tc>
        <w:tc>
          <w:tcPr>
            <w:tcW w:w="2268" w:type="dxa"/>
            <w:tcBorders>
              <w:top w:val="nil"/>
              <w:left w:val="nil"/>
              <w:bottom w:val="single" w:sz="8" w:space="0" w:color="auto"/>
              <w:right w:val="single" w:sz="8" w:space="0" w:color="auto"/>
            </w:tcBorders>
            <w:shd w:val="clear" w:color="auto" w:fill="auto"/>
            <w:vAlign w:val="bottom"/>
            <w:hideMark/>
          </w:tcPr>
          <w:p w14:paraId="7193A42A" w14:textId="77777777" w:rsidR="00C43D79" w:rsidRPr="00C43D79" w:rsidRDefault="00C43D79" w:rsidP="00C43D79">
            <w:pPr>
              <w:spacing w:after="0" w:line="240" w:lineRule="auto"/>
              <w:rPr>
                <w:color w:val="000000"/>
                <w:sz w:val="16"/>
                <w:szCs w:val="16"/>
                <w:lang w:eastAsia="es-CO"/>
              </w:rPr>
            </w:pPr>
            <w:r w:rsidRPr="00C43D79">
              <w:rPr>
                <w:color w:val="000000"/>
                <w:sz w:val="16"/>
                <w:szCs w:val="16"/>
                <w:lang w:eastAsia="es-CO"/>
              </w:rPr>
              <w:t>Si del cálculo art. 49 par. 2 el resultado fuera gravados. Retención Fuente</w:t>
            </w:r>
          </w:p>
        </w:tc>
      </w:tr>
    </w:tbl>
    <w:p w14:paraId="3E5FB510" w14:textId="38F098D5" w:rsidR="009716CA" w:rsidRDefault="009716CA" w:rsidP="009716CA"/>
    <w:p w14:paraId="0124065D" w14:textId="07998F81" w:rsidR="009716CA" w:rsidRPr="009716CA" w:rsidRDefault="009716CA" w:rsidP="009716CA">
      <w:pPr>
        <w:jc w:val="right"/>
        <w:rPr>
          <w:i/>
        </w:rPr>
      </w:pPr>
      <w:r w:rsidRPr="009716CA">
        <w:rPr>
          <w:i/>
        </w:rPr>
        <w:t>Sara Isabel Forero Penagos</w:t>
      </w:r>
    </w:p>
    <w:sectPr w:rsidR="009716CA" w:rsidRPr="009716CA"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20A39" w14:textId="77777777" w:rsidR="00B95A00" w:rsidRDefault="00B95A00" w:rsidP="00EE7812">
      <w:pPr>
        <w:spacing w:after="0" w:line="240" w:lineRule="auto"/>
      </w:pPr>
      <w:r>
        <w:separator/>
      </w:r>
    </w:p>
  </w:endnote>
  <w:endnote w:type="continuationSeparator" w:id="0">
    <w:p w14:paraId="41E7C3A4" w14:textId="77777777" w:rsidR="00B95A00" w:rsidRDefault="00B95A0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5B21E" w14:textId="77777777" w:rsidR="00B95A00" w:rsidRDefault="00B95A00" w:rsidP="00EE7812">
      <w:pPr>
        <w:spacing w:after="0" w:line="240" w:lineRule="auto"/>
      </w:pPr>
      <w:r>
        <w:separator/>
      </w:r>
    </w:p>
  </w:footnote>
  <w:footnote w:type="continuationSeparator" w:id="0">
    <w:p w14:paraId="4B63C067" w14:textId="77777777" w:rsidR="00B95A00" w:rsidRDefault="00B95A0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7A3E61D" w:rsidR="008D582E" w:rsidRDefault="008D582E" w:rsidP="00613BC8">
    <w:pPr>
      <w:pStyle w:val="Encabezado"/>
      <w:tabs>
        <w:tab w:val="left" w:pos="2580"/>
        <w:tab w:val="left" w:pos="2985"/>
      </w:tabs>
      <w:spacing w:line="276" w:lineRule="auto"/>
      <w:jc w:val="right"/>
    </w:pPr>
    <w:r>
      <w:t>Número 2</w:t>
    </w:r>
    <w:r w:rsidR="00C43D79">
      <w:t>500</w:t>
    </w:r>
    <w:r w:rsidR="00184401">
      <w:t xml:space="preserve">, </w:t>
    </w:r>
    <w:r w:rsidR="005352E0">
      <w:t>diciembre</w:t>
    </w:r>
    <w:r w:rsidR="00184401">
      <w:t xml:space="preserve"> </w:t>
    </w:r>
    <w:r w:rsidR="005352E0">
      <w:t>5</w:t>
    </w:r>
    <w:r>
      <w:t xml:space="preserve"> de 2016</w:t>
    </w:r>
  </w:p>
  <w:p w14:paraId="29566F03" w14:textId="77777777" w:rsidR="008D582E" w:rsidRDefault="00B95A0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271"/>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3BC"/>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BDB"/>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7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9DA"/>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0"/>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5"/>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901"/>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n.gov.co/dian/15servicios.nsf/0108fdc3639d83ff05256f0b006abb3d/f84ddd11ac98c80e05256f0c00633ebd?OpenDocu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an.gov.co/dian/15servicios.nsf/0108fdc3639d83ff05256f0b006abb3d/703098488153cf2405256f0c007681d6?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BD678-FC10-49C6-8119-25D6ED9B9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2734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2016-12-04T00:21:00Z</dcterms:created>
  <dcterms:modified xsi:type="dcterms:W3CDTF">2016-12-04T00:21:00Z</dcterms:modified>
</cp:coreProperties>
</file>