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47386" w14:textId="580BD621" w:rsidR="005B1446" w:rsidRPr="005B1446" w:rsidRDefault="005B1446" w:rsidP="005B1446">
      <w:pPr>
        <w:keepNext/>
        <w:framePr w:dropCap="drop" w:lines="3" w:wrap="around" w:vAnchor="text" w:hAnchor="text"/>
        <w:spacing w:after="0" w:line="926" w:lineRule="exact"/>
        <w:textAlignment w:val="baseline"/>
        <w:rPr>
          <w:position w:val="-8"/>
          <w:sz w:val="123"/>
        </w:rPr>
      </w:pPr>
      <w:bookmarkStart w:id="0" w:name="_GoBack"/>
      <w:bookmarkEnd w:id="0"/>
      <w:r w:rsidRPr="005B1446">
        <w:rPr>
          <w:position w:val="-8"/>
          <w:sz w:val="123"/>
        </w:rPr>
        <w:t>P</w:t>
      </w:r>
    </w:p>
    <w:p w14:paraId="0C7D0B09" w14:textId="0D944FD2" w:rsidR="005B1446" w:rsidRPr="005B1446" w:rsidRDefault="005B1446" w:rsidP="005B1446">
      <w:r w:rsidRPr="005B1446">
        <w:t xml:space="preserve">or estos </w:t>
      </w:r>
      <w:r w:rsidR="0097092D" w:rsidRPr="005B1446">
        <w:t>días</w:t>
      </w:r>
      <w:r w:rsidRPr="005B1446">
        <w:t xml:space="preserve"> el </w:t>
      </w:r>
      <w:hyperlink r:id="rId8" w:history="1">
        <w:proofErr w:type="spellStart"/>
        <w:r w:rsidRPr="0097092D">
          <w:rPr>
            <w:rStyle w:val="Hipervnculo"/>
            <w:i/>
          </w:rPr>
          <w:t>Bitcoin</w:t>
        </w:r>
        <w:proofErr w:type="spellEnd"/>
        <w:r w:rsidRPr="005B1446">
          <w:rPr>
            <w:rStyle w:val="Hipervnculo"/>
          </w:rPr>
          <w:t xml:space="preserve"> supera la barrera de los 1,000 dólares</w:t>
        </w:r>
      </w:hyperlink>
      <w:r w:rsidRPr="005B1446">
        <w:t xml:space="preserve"> después de 3 años, con un ascenso de 125% en 2016, más que cualquier moneda oficial del mundo. Aquí surge la primera pregunta, </w:t>
      </w:r>
      <w:r w:rsidR="0097092D">
        <w:t>¿</w:t>
      </w:r>
      <w:r w:rsidRPr="005B1446">
        <w:t xml:space="preserve">es una moneda?, recordemos contrapartida </w:t>
      </w:r>
      <w:hyperlink r:id="rId9" w:history="1">
        <w:r w:rsidRPr="005B1446">
          <w:rPr>
            <w:rStyle w:val="Hipervnculo"/>
          </w:rPr>
          <w:t>856</w:t>
        </w:r>
      </w:hyperlink>
      <w:r w:rsidRPr="005B1446">
        <w:rPr>
          <w:i/>
        </w:rPr>
        <w:t xml:space="preserve"> </w:t>
      </w:r>
      <w:r w:rsidRPr="005B1446">
        <w:t xml:space="preserve">o </w:t>
      </w:r>
      <w:r w:rsidR="0097092D">
        <w:t>¿</w:t>
      </w:r>
      <w:r w:rsidRPr="005B1446">
        <w:t xml:space="preserve">es una divisa? o </w:t>
      </w:r>
      <w:r w:rsidR="0097092D">
        <w:t>¿</w:t>
      </w:r>
      <w:r w:rsidRPr="005B1446">
        <w:t xml:space="preserve">es un </w:t>
      </w:r>
      <w:proofErr w:type="spellStart"/>
      <w:r w:rsidRPr="005B1446">
        <w:t>commodity</w:t>
      </w:r>
      <w:proofErr w:type="spellEnd"/>
      <w:r w:rsidRPr="005B1446">
        <w:t>?</w:t>
      </w:r>
    </w:p>
    <w:p w14:paraId="341D0F1E" w14:textId="77777777" w:rsidR="005B1446" w:rsidRPr="005B1446" w:rsidRDefault="005B1446" w:rsidP="005B1446">
      <w:pPr>
        <w:rPr>
          <w:lang w:val="en-US"/>
        </w:rPr>
      </w:pPr>
      <w:r w:rsidRPr="005B1446">
        <w:t xml:space="preserve">Cada vez más el mercado de </w:t>
      </w:r>
      <w:proofErr w:type="spellStart"/>
      <w:r w:rsidRPr="0097092D">
        <w:rPr>
          <w:i/>
        </w:rPr>
        <w:t>bitcoin</w:t>
      </w:r>
      <w:proofErr w:type="spellEnd"/>
      <w:r w:rsidRPr="005B1446">
        <w:t xml:space="preserve"> adquiere más relevancia y surge la cuestión de cómo contabilizar las monedas digitales, a lo cual la Junta Australiana de Estándares de Contabilidad, AASB, por sus siglas en inglés, emitió un </w:t>
      </w:r>
      <w:proofErr w:type="spellStart"/>
      <w:r w:rsidRPr="0097092D">
        <w:rPr>
          <w:i/>
        </w:rPr>
        <w:t>paper</w:t>
      </w:r>
      <w:proofErr w:type="spellEnd"/>
      <w:r w:rsidRPr="005B1446">
        <w:t xml:space="preserve"> titulado </w:t>
      </w:r>
      <w:r w:rsidRPr="005B1446">
        <w:rPr>
          <w:i/>
          <w:iCs/>
        </w:rPr>
        <w:t>“</w:t>
      </w:r>
      <w:hyperlink r:id="rId10" w:history="1">
        <w:r w:rsidRPr="005B1446">
          <w:rPr>
            <w:rStyle w:val="Hipervnculo"/>
          </w:rPr>
          <w:t>Moneda digital, un caso para la actividad de fijación de estándares</w:t>
        </w:r>
      </w:hyperlink>
      <w:r w:rsidRPr="005B1446">
        <w:rPr>
          <w:i/>
          <w:iCs/>
        </w:rPr>
        <w:t>” [PDF]</w:t>
      </w:r>
      <w:r w:rsidRPr="005B1446">
        <w:rPr>
          <w:iCs/>
        </w:rPr>
        <w:t xml:space="preserve"> para llamar la atención sobre la necesidad de emitir un estándar para monedas digitales, ya que como lo dice su autor Henri </w:t>
      </w:r>
      <w:proofErr w:type="spellStart"/>
      <w:r w:rsidRPr="005B1446">
        <w:rPr>
          <w:iCs/>
        </w:rPr>
        <w:t>Venter</w:t>
      </w:r>
      <w:proofErr w:type="spellEnd"/>
      <w:r w:rsidRPr="005B1446">
        <w:rPr>
          <w:iCs/>
        </w:rPr>
        <w:t>: “</w:t>
      </w:r>
      <w:proofErr w:type="spellStart"/>
      <w:r w:rsidRPr="005B1446">
        <w:rPr>
          <w:i/>
        </w:rPr>
        <w:t>Over</w:t>
      </w:r>
      <w:proofErr w:type="spellEnd"/>
      <w:r w:rsidRPr="005B1446">
        <w:rPr>
          <w:i/>
        </w:rPr>
        <w:t xml:space="preserve"> </w:t>
      </w:r>
      <w:proofErr w:type="spellStart"/>
      <w:r w:rsidRPr="005B1446">
        <w:rPr>
          <w:i/>
        </w:rPr>
        <w:t>the</w:t>
      </w:r>
      <w:proofErr w:type="spellEnd"/>
      <w:r w:rsidRPr="005B1446">
        <w:rPr>
          <w:i/>
        </w:rPr>
        <w:t xml:space="preserve"> </w:t>
      </w:r>
      <w:proofErr w:type="spellStart"/>
      <w:r w:rsidRPr="005B1446">
        <w:rPr>
          <w:i/>
        </w:rPr>
        <w:t>last</w:t>
      </w:r>
      <w:proofErr w:type="spellEnd"/>
      <w:r w:rsidRPr="005B1446">
        <w:rPr>
          <w:i/>
        </w:rPr>
        <w:t xml:space="preserve"> </w:t>
      </w:r>
      <w:proofErr w:type="spellStart"/>
      <w:r w:rsidRPr="005B1446">
        <w:rPr>
          <w:i/>
        </w:rPr>
        <w:t>few</w:t>
      </w:r>
      <w:proofErr w:type="spellEnd"/>
      <w:r w:rsidRPr="005B1446">
        <w:rPr>
          <w:i/>
        </w:rPr>
        <w:t xml:space="preserve"> </w:t>
      </w:r>
      <w:proofErr w:type="spellStart"/>
      <w:r w:rsidRPr="005B1446">
        <w:rPr>
          <w:i/>
        </w:rPr>
        <w:t>years</w:t>
      </w:r>
      <w:proofErr w:type="spellEnd"/>
      <w:r w:rsidRPr="005B1446">
        <w:rPr>
          <w:i/>
        </w:rPr>
        <w:t xml:space="preserve"> </w:t>
      </w:r>
      <w:proofErr w:type="spellStart"/>
      <w:r w:rsidRPr="005B1446">
        <w:rPr>
          <w:i/>
        </w:rPr>
        <w:t>the</w:t>
      </w:r>
      <w:proofErr w:type="spellEnd"/>
      <w:r w:rsidRPr="005B1446">
        <w:rPr>
          <w:i/>
        </w:rPr>
        <w:t xml:space="preserve"> </w:t>
      </w:r>
      <w:proofErr w:type="spellStart"/>
      <w:r w:rsidRPr="005B1446">
        <w:rPr>
          <w:i/>
        </w:rPr>
        <w:t>prevalence</w:t>
      </w:r>
      <w:proofErr w:type="spellEnd"/>
      <w:r w:rsidRPr="005B1446">
        <w:rPr>
          <w:i/>
        </w:rPr>
        <w:t xml:space="preserve"> of digital </w:t>
      </w:r>
      <w:proofErr w:type="spellStart"/>
      <w:r w:rsidRPr="005B1446">
        <w:rPr>
          <w:i/>
        </w:rPr>
        <w:t>currencies</w:t>
      </w:r>
      <w:proofErr w:type="spellEnd"/>
      <w:r w:rsidRPr="005B1446">
        <w:rPr>
          <w:i/>
        </w:rPr>
        <w:t xml:space="preserve"> has </w:t>
      </w:r>
      <w:proofErr w:type="spellStart"/>
      <w:r w:rsidRPr="005B1446">
        <w:rPr>
          <w:i/>
        </w:rPr>
        <w:t>increased</w:t>
      </w:r>
      <w:proofErr w:type="spellEnd"/>
      <w:r w:rsidRPr="005B1446">
        <w:rPr>
          <w:i/>
        </w:rPr>
        <w:t xml:space="preserve">. </w:t>
      </w:r>
      <w:r w:rsidRPr="005B1446">
        <w:rPr>
          <w:i/>
          <w:lang w:val="en-US"/>
        </w:rPr>
        <w:t>However, a lack of clear guidance in IFRS has resulted in diversity in practice in accounting for such currencies. In this paper we provide an analysis of the current accounting issue and provide a recommended way forward</w:t>
      </w:r>
      <w:r w:rsidRPr="005B1446">
        <w:rPr>
          <w:lang w:val="en-US"/>
        </w:rPr>
        <w:t>.”</w:t>
      </w:r>
    </w:p>
    <w:p w14:paraId="59D9CA3D" w14:textId="01AC28C5" w:rsidR="005B1446" w:rsidRPr="005B1446" w:rsidRDefault="005B1446" w:rsidP="005B1446">
      <w:pPr>
        <w:rPr>
          <w:lang w:val="en-US"/>
        </w:rPr>
      </w:pPr>
      <w:r w:rsidRPr="005B1446">
        <w:rPr>
          <w:lang w:val="en-US"/>
        </w:rPr>
        <w:t xml:space="preserve">El </w:t>
      </w:r>
      <w:r w:rsidRPr="0097092D">
        <w:rPr>
          <w:i/>
          <w:lang w:val="en-US"/>
        </w:rPr>
        <w:t>paper</w:t>
      </w:r>
      <w:r w:rsidRPr="005B1446">
        <w:rPr>
          <w:lang w:val="en-US"/>
        </w:rPr>
        <w:t xml:space="preserve"> </w:t>
      </w:r>
      <w:r w:rsidRPr="0097092D">
        <w:t>a su vez propone que</w:t>
      </w:r>
      <w:r w:rsidRPr="005B1446">
        <w:rPr>
          <w:lang w:val="en-US"/>
        </w:rPr>
        <w:t xml:space="preserve">: </w:t>
      </w:r>
      <w:r w:rsidRPr="005B1446">
        <w:rPr>
          <w:i/>
          <w:lang w:val="en-US"/>
        </w:rPr>
        <w:t xml:space="preserve">“digital currencies could be accounted for under IAS 2 </w:t>
      </w:r>
      <w:r w:rsidRPr="005B1446">
        <w:rPr>
          <w:i/>
          <w:iCs/>
          <w:lang w:val="en-US"/>
        </w:rPr>
        <w:t xml:space="preserve">Inventory </w:t>
      </w:r>
      <w:r w:rsidRPr="005B1446">
        <w:rPr>
          <w:i/>
          <w:lang w:val="en-US"/>
        </w:rPr>
        <w:t xml:space="preserve">or IAS 38 </w:t>
      </w:r>
      <w:r w:rsidRPr="005B1446">
        <w:rPr>
          <w:i/>
          <w:iCs/>
          <w:lang w:val="en-US"/>
        </w:rPr>
        <w:t xml:space="preserve">Intangible Assets </w:t>
      </w:r>
      <w:r w:rsidRPr="005B1446">
        <w:rPr>
          <w:i/>
          <w:lang w:val="en-US"/>
        </w:rPr>
        <w:t>depending on certain facts and circumstances.”</w:t>
      </w:r>
      <w:r w:rsidR="0097092D">
        <w:rPr>
          <w:i/>
          <w:lang w:val="en-US"/>
        </w:rPr>
        <w:t xml:space="preserve"> </w:t>
      </w:r>
      <w:r w:rsidRPr="005B1446">
        <w:rPr>
          <w:lang w:val="en-US"/>
        </w:rPr>
        <w:t xml:space="preserve">Y continua </w:t>
      </w:r>
      <w:r w:rsidRPr="005B1446">
        <w:rPr>
          <w:i/>
          <w:lang w:val="en-US"/>
        </w:rPr>
        <w:t xml:space="preserve">“We think that digital currencies should be measured at fair value with changes in fair value </w:t>
      </w:r>
      <w:proofErr w:type="spellStart"/>
      <w:r w:rsidRPr="005B1446">
        <w:rPr>
          <w:i/>
          <w:lang w:val="en-US"/>
        </w:rPr>
        <w:t>recognised</w:t>
      </w:r>
      <w:proofErr w:type="spellEnd"/>
      <w:r w:rsidRPr="005B1446">
        <w:rPr>
          <w:i/>
          <w:lang w:val="en-US"/>
        </w:rPr>
        <w:t xml:space="preserve"> in profit or loss.” </w:t>
      </w:r>
      <w:r w:rsidRPr="0097092D">
        <w:t xml:space="preserve">Y piensan que la contabilidad para monedas digitales pone de relieve una cuestión </w:t>
      </w:r>
      <w:r w:rsidR="0097092D" w:rsidRPr="0097092D">
        <w:t>más</w:t>
      </w:r>
      <w:r w:rsidRPr="0097092D">
        <w:t xml:space="preserve"> amplia con los IFRS y</w:t>
      </w:r>
      <w:r w:rsidRPr="005B1446">
        <w:rPr>
          <w:lang w:val="en-US"/>
        </w:rPr>
        <w:t xml:space="preserve"> </w:t>
      </w:r>
      <w:r w:rsidRPr="005B1446">
        <w:rPr>
          <w:i/>
          <w:lang w:val="en-US"/>
        </w:rPr>
        <w:t xml:space="preserve">“that there is no accounting standard that deals with investments in intangible assets or other commodity type assets that are not financial </w:t>
      </w:r>
      <w:r w:rsidRPr="005B1446">
        <w:rPr>
          <w:i/>
          <w:lang w:val="en-US"/>
        </w:rPr>
        <w:t>instruments or inventory. Consequently, we recommend that the IASB develop a standard that would address the accounting for investments in intangible assets and commodities.”</w:t>
      </w:r>
      <w:r w:rsidRPr="005B1446">
        <w:rPr>
          <w:lang w:val="en-US"/>
        </w:rPr>
        <w:t xml:space="preserve"> </w:t>
      </w:r>
    </w:p>
    <w:p w14:paraId="133065EC" w14:textId="088481C3" w:rsidR="005B1446" w:rsidRPr="005B1446" w:rsidRDefault="005B1446" w:rsidP="005B1446">
      <w:pPr>
        <w:rPr>
          <w:lang w:val="es-ES"/>
        </w:rPr>
      </w:pPr>
      <w:r w:rsidRPr="005B1446">
        <w:rPr>
          <w:lang w:val="es-ES"/>
        </w:rPr>
        <w:t xml:space="preserve">La cuestión es bien interesante ya que llama al entendimiento del Marco Conceptual de IASB: la moneda digital </w:t>
      </w:r>
      <w:r w:rsidR="0097092D">
        <w:rPr>
          <w:lang w:val="es-ES"/>
        </w:rPr>
        <w:t>¿</w:t>
      </w:r>
      <w:r w:rsidRPr="005B1446">
        <w:rPr>
          <w:lang w:val="es-ES"/>
        </w:rPr>
        <w:t xml:space="preserve">cumple la definición de </w:t>
      </w:r>
      <w:r w:rsidRPr="005B1446">
        <w:rPr>
          <w:b/>
          <w:lang w:val="es-ES"/>
        </w:rPr>
        <w:t>efectivo o equivalentes de efectivo</w:t>
      </w:r>
      <w:r w:rsidRPr="005B1446">
        <w:rPr>
          <w:lang w:val="es-ES"/>
        </w:rPr>
        <w:t xml:space="preserve">?, </w:t>
      </w:r>
      <w:r w:rsidR="0097092D">
        <w:rPr>
          <w:lang w:val="es-ES"/>
        </w:rPr>
        <w:t>¿</w:t>
      </w:r>
      <w:r w:rsidRPr="005B1446">
        <w:rPr>
          <w:lang w:val="es-ES"/>
        </w:rPr>
        <w:t xml:space="preserve">cumple con la definición de </w:t>
      </w:r>
      <w:r w:rsidRPr="005B1446">
        <w:rPr>
          <w:b/>
          <w:lang w:val="es-ES"/>
        </w:rPr>
        <w:t>instrumento financiero</w:t>
      </w:r>
      <w:r w:rsidRPr="005B1446">
        <w:rPr>
          <w:lang w:val="es-ES"/>
        </w:rPr>
        <w:t xml:space="preserve">?, </w:t>
      </w:r>
      <w:r w:rsidR="0097092D">
        <w:rPr>
          <w:lang w:val="es-ES"/>
        </w:rPr>
        <w:t>¿</w:t>
      </w:r>
      <w:r w:rsidRPr="005B1446">
        <w:rPr>
          <w:lang w:val="es-ES"/>
        </w:rPr>
        <w:t xml:space="preserve">cumple la definición de </w:t>
      </w:r>
      <w:r w:rsidRPr="005B1446">
        <w:rPr>
          <w:b/>
          <w:lang w:val="es-ES"/>
        </w:rPr>
        <w:t>activo intangible</w:t>
      </w:r>
      <w:r w:rsidRPr="005B1446">
        <w:rPr>
          <w:lang w:val="es-ES"/>
        </w:rPr>
        <w:t xml:space="preserve">?, </w:t>
      </w:r>
      <w:r w:rsidR="0097092D">
        <w:rPr>
          <w:lang w:val="es-ES"/>
        </w:rPr>
        <w:t>¿</w:t>
      </w:r>
      <w:r w:rsidRPr="005B1446">
        <w:rPr>
          <w:lang w:val="es-ES"/>
        </w:rPr>
        <w:t xml:space="preserve">puede ser considerado como </w:t>
      </w:r>
      <w:r w:rsidRPr="005B1446">
        <w:rPr>
          <w:b/>
          <w:lang w:val="es-ES"/>
        </w:rPr>
        <w:t>inventarios</w:t>
      </w:r>
      <w:r w:rsidRPr="005B1446">
        <w:rPr>
          <w:lang w:val="es-ES"/>
        </w:rPr>
        <w:t xml:space="preserve">? </w:t>
      </w:r>
    </w:p>
    <w:p w14:paraId="42C2C775" w14:textId="77777777" w:rsidR="005B1446" w:rsidRPr="005B1446" w:rsidRDefault="005B1446" w:rsidP="005B1446">
      <w:pPr>
        <w:pStyle w:val="Sinespaciado"/>
        <w:rPr>
          <w:lang w:val="es-ES"/>
        </w:rPr>
      </w:pPr>
      <w:r w:rsidRPr="005B1446">
        <w:rPr>
          <w:lang w:val="es-ES"/>
        </w:rPr>
        <w:t>Al respecto la AASB propone como IASB podría abordar este asunto:</w:t>
      </w:r>
    </w:p>
    <w:p w14:paraId="456A9A3C" w14:textId="77777777" w:rsidR="005B1446" w:rsidRPr="005B1446" w:rsidRDefault="005B1446" w:rsidP="009A64D3">
      <w:pPr>
        <w:pStyle w:val="Sinespaciado"/>
        <w:numPr>
          <w:ilvl w:val="0"/>
          <w:numId w:val="2"/>
        </w:numPr>
        <w:rPr>
          <w:i/>
          <w:lang w:val="en-US"/>
        </w:rPr>
      </w:pPr>
      <w:r w:rsidRPr="005B1446">
        <w:rPr>
          <w:i/>
          <w:lang w:val="en-US"/>
        </w:rPr>
        <w:t xml:space="preserve">Issue a new IFRS </w:t>
      </w:r>
    </w:p>
    <w:p w14:paraId="25ABDB9F" w14:textId="77777777" w:rsidR="005B1446" w:rsidRPr="005B1446" w:rsidRDefault="005B1446" w:rsidP="009A64D3">
      <w:pPr>
        <w:pStyle w:val="Sinespaciado"/>
        <w:numPr>
          <w:ilvl w:val="0"/>
          <w:numId w:val="2"/>
        </w:numPr>
        <w:rPr>
          <w:i/>
          <w:lang w:val="en-US"/>
        </w:rPr>
      </w:pPr>
      <w:r w:rsidRPr="005B1446">
        <w:rPr>
          <w:i/>
          <w:lang w:val="en-US"/>
        </w:rPr>
        <w:t xml:space="preserve">Amend the definition of cash or cash equivalents </w:t>
      </w:r>
    </w:p>
    <w:p w14:paraId="4D1524D9" w14:textId="77777777" w:rsidR="005B1446" w:rsidRPr="005B1446" w:rsidRDefault="005B1446" w:rsidP="009A64D3">
      <w:pPr>
        <w:pStyle w:val="Sinespaciado"/>
        <w:numPr>
          <w:ilvl w:val="0"/>
          <w:numId w:val="2"/>
        </w:numPr>
        <w:rPr>
          <w:i/>
          <w:lang w:val="en-US"/>
        </w:rPr>
      </w:pPr>
      <w:r w:rsidRPr="005B1446">
        <w:rPr>
          <w:i/>
          <w:lang w:val="en-US"/>
        </w:rPr>
        <w:t xml:space="preserve">Amend the definition of a financial asset </w:t>
      </w:r>
    </w:p>
    <w:p w14:paraId="1935E9F2" w14:textId="60F57C0E" w:rsidR="005B1446" w:rsidRPr="005B1446" w:rsidRDefault="005B1446" w:rsidP="009A64D3">
      <w:pPr>
        <w:pStyle w:val="Sinespaciado"/>
        <w:numPr>
          <w:ilvl w:val="0"/>
          <w:numId w:val="2"/>
        </w:numPr>
        <w:rPr>
          <w:lang w:val="en-US"/>
        </w:rPr>
      </w:pPr>
      <w:r w:rsidRPr="005B1446">
        <w:rPr>
          <w:i/>
          <w:lang w:val="en-US"/>
        </w:rPr>
        <w:t xml:space="preserve">Amend the measurement guidance in IAS 2 and IAS 38 </w:t>
      </w:r>
    </w:p>
    <w:p w14:paraId="44A5158E" w14:textId="77777777" w:rsidR="005B1446" w:rsidRPr="005B1446" w:rsidRDefault="005B1446" w:rsidP="005B1446">
      <w:pPr>
        <w:pStyle w:val="Sinespaciado"/>
        <w:rPr>
          <w:lang w:val="en-US"/>
        </w:rPr>
      </w:pPr>
    </w:p>
    <w:p w14:paraId="34F3B473" w14:textId="5C8C9B7D" w:rsidR="005B1446" w:rsidRPr="005B1446" w:rsidRDefault="005B1446" w:rsidP="005B1446">
      <w:pPr>
        <w:rPr>
          <w:i/>
          <w:lang w:val="en-US"/>
        </w:rPr>
      </w:pPr>
      <w:r w:rsidRPr="0097092D">
        <w:t>De otra parte, para dilucidar un poco el tema la Comisión para el Comercio de Futuros de Mercancías (</w:t>
      </w:r>
      <w:proofErr w:type="spellStart"/>
      <w:r w:rsidRPr="0097092D">
        <w:t>Commodity</w:t>
      </w:r>
      <w:proofErr w:type="spellEnd"/>
      <w:r w:rsidRPr="0097092D">
        <w:t xml:space="preserve"> </w:t>
      </w:r>
      <w:proofErr w:type="spellStart"/>
      <w:r w:rsidRPr="0097092D">
        <w:t>Futures</w:t>
      </w:r>
      <w:proofErr w:type="spellEnd"/>
      <w:r w:rsidRPr="0097092D">
        <w:t xml:space="preserve"> Trading </w:t>
      </w:r>
      <w:proofErr w:type="spellStart"/>
      <w:r w:rsidRPr="0097092D">
        <w:t>Commision</w:t>
      </w:r>
      <w:proofErr w:type="spellEnd"/>
      <w:r w:rsidRPr="0097092D">
        <w:t xml:space="preserve"> – CFTC) de Estados Unidos declara </w:t>
      </w:r>
      <w:r w:rsidRPr="0097092D">
        <w:rPr>
          <w:i/>
        </w:rPr>
        <w:t>oficialmente</w:t>
      </w:r>
      <w:r w:rsidRPr="005B1446">
        <w:rPr>
          <w:i/>
          <w:lang w:val="en-US"/>
        </w:rPr>
        <w:t xml:space="preserve"> </w:t>
      </w:r>
      <w:hyperlink r:id="rId11" w:history="1">
        <w:r w:rsidRPr="005B1446">
          <w:rPr>
            <w:rStyle w:val="Hipervnculo"/>
            <w:lang w:val="en-US"/>
          </w:rPr>
          <w:t>“In the Order, the CFTC for the first time finds that Bitcoin and other virtual currencies are properly defined as commodities”</w:t>
        </w:r>
      </w:hyperlink>
      <w:r w:rsidRPr="005B1446">
        <w:rPr>
          <w:i/>
          <w:lang w:val="en-US"/>
        </w:rPr>
        <w:t>.</w:t>
      </w:r>
    </w:p>
    <w:p w14:paraId="045E6A56" w14:textId="4E2D74EE" w:rsidR="005B1446" w:rsidRPr="005B1446" w:rsidRDefault="005B1446" w:rsidP="005B1446">
      <w:pPr>
        <w:rPr>
          <w:lang w:val="es-ES"/>
        </w:rPr>
      </w:pPr>
      <w:r w:rsidRPr="005B1446">
        <w:rPr>
          <w:lang w:val="es-ES"/>
        </w:rPr>
        <w:t xml:space="preserve">Al respecto Colombia ya ha tomado posición a través del </w:t>
      </w:r>
      <w:hyperlink r:id="rId12" w:history="1">
        <w:r w:rsidRPr="005B1446">
          <w:rPr>
            <w:rStyle w:val="Hipervnculo"/>
            <w:lang w:val="es-ES"/>
          </w:rPr>
          <w:t>Banco de la República</w:t>
        </w:r>
      </w:hyperlink>
      <w:r w:rsidRPr="005B1446">
        <w:rPr>
          <w:lang w:val="es-ES"/>
        </w:rPr>
        <w:t xml:space="preserve"> las </w:t>
      </w:r>
      <w:hyperlink r:id="rId13" w:history="1">
        <w:r w:rsidRPr="005B1446">
          <w:rPr>
            <w:rStyle w:val="Hipervnculo"/>
            <w:lang w:val="es-ES"/>
          </w:rPr>
          <w:t>Superintendencia Financiera</w:t>
        </w:r>
      </w:hyperlink>
      <w:r w:rsidRPr="005B1446">
        <w:rPr>
          <w:lang w:val="es-ES"/>
        </w:rPr>
        <w:t xml:space="preserve"> y de </w:t>
      </w:r>
      <w:hyperlink r:id="rId14" w:history="1">
        <w:r w:rsidRPr="005B1446">
          <w:rPr>
            <w:rStyle w:val="Hipervnculo"/>
            <w:lang w:val="es-ES"/>
          </w:rPr>
          <w:t>Sociedades</w:t>
        </w:r>
      </w:hyperlink>
      <w:r w:rsidRPr="005B1446">
        <w:rPr>
          <w:lang w:val="es-ES"/>
        </w:rPr>
        <w:t xml:space="preserve">, </w:t>
      </w:r>
      <w:r w:rsidRPr="00795284">
        <w:t>manifestan</w:t>
      </w:r>
      <w:r w:rsidR="0097092D" w:rsidRPr="00795284">
        <w:t>do</w:t>
      </w:r>
      <w:r w:rsidRPr="00795284">
        <w:t xml:space="preserve"> que el </w:t>
      </w:r>
      <w:proofErr w:type="spellStart"/>
      <w:r w:rsidRPr="00795284">
        <w:rPr>
          <w:i/>
        </w:rPr>
        <w:t>bitcoin</w:t>
      </w:r>
      <w:proofErr w:type="spellEnd"/>
      <w:r w:rsidRPr="00795284">
        <w:t xml:space="preserve"> no es una moneda de curso legal, ni un activo que pueda ser considerado una divisa</w:t>
      </w:r>
      <w:r w:rsidRPr="005B1446">
        <w:rPr>
          <w:lang w:val="es-ES"/>
        </w:rPr>
        <w:t>.</w:t>
      </w:r>
    </w:p>
    <w:p w14:paraId="3B702013" w14:textId="0DC6DEC5" w:rsidR="00573147" w:rsidRPr="005B1446" w:rsidRDefault="005B1446" w:rsidP="0097092D">
      <w:pPr>
        <w:jc w:val="right"/>
      </w:pPr>
      <w:r w:rsidRPr="005B1446">
        <w:rPr>
          <w:i/>
          <w:lang w:val="es-ES"/>
        </w:rPr>
        <w:t>Luis Eduardo Olaya A., PMP</w:t>
      </w:r>
    </w:p>
    <w:sectPr w:rsidR="00573147" w:rsidRPr="005B1446"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115B" w14:textId="77777777" w:rsidR="00B971F6" w:rsidRDefault="00B971F6" w:rsidP="00EE7812">
      <w:pPr>
        <w:spacing w:after="0" w:line="240" w:lineRule="auto"/>
      </w:pPr>
      <w:r>
        <w:separator/>
      </w:r>
    </w:p>
  </w:endnote>
  <w:endnote w:type="continuationSeparator" w:id="0">
    <w:p w14:paraId="7173EA3B" w14:textId="77777777" w:rsidR="00B971F6" w:rsidRDefault="00B971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AFD2C" w14:textId="77777777" w:rsidR="00B971F6" w:rsidRDefault="00B971F6" w:rsidP="00EE7812">
      <w:pPr>
        <w:spacing w:after="0" w:line="240" w:lineRule="auto"/>
      </w:pPr>
      <w:r>
        <w:separator/>
      </w:r>
    </w:p>
  </w:footnote>
  <w:footnote w:type="continuationSeparator" w:id="0">
    <w:p w14:paraId="27C92780" w14:textId="77777777" w:rsidR="00B971F6" w:rsidRDefault="00B971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44089773" w:rsidR="008D582E" w:rsidRDefault="008D582E" w:rsidP="00613BC8">
    <w:pPr>
      <w:pStyle w:val="Encabezado"/>
      <w:tabs>
        <w:tab w:val="left" w:pos="2580"/>
        <w:tab w:val="left" w:pos="2985"/>
      </w:tabs>
      <w:spacing w:line="276" w:lineRule="auto"/>
      <w:jc w:val="right"/>
    </w:pPr>
    <w:r>
      <w:t>Número 2</w:t>
    </w:r>
    <w:r w:rsidR="007A3724">
      <w:t>537</w:t>
    </w:r>
    <w:r w:rsidR="00184401">
      <w:t xml:space="preserve">, </w:t>
    </w:r>
    <w:r w:rsidR="0031458E">
      <w:t xml:space="preserve">enero </w:t>
    </w:r>
    <w:r w:rsidR="005B1446">
      <w:t>16</w:t>
    </w:r>
    <w:r>
      <w:t xml:space="preserve"> de 201</w:t>
    </w:r>
    <w:r w:rsidR="0031458E">
      <w:t>7</w:t>
    </w:r>
  </w:p>
  <w:p w14:paraId="29566F03" w14:textId="77777777" w:rsidR="008D582E" w:rsidRDefault="00B971F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67469FD"/>
    <w:multiLevelType w:val="hybridMultilevel"/>
    <w:tmpl w:val="C67AC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E62"/>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D3"/>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1F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cno.americaeconomia.com/articulos/bitcoin-supera-la-barrera-de-los-1000-dolares-por-primera-vez-en-tres-anos" TargetMode="External"/><Relationship Id="rId13" Type="http://schemas.openxmlformats.org/officeDocument/2006/relationships/hyperlink" Target="https://www.superfinanciera.gov.co/descargas?com=institucional&amp;name=pubFile1008066&amp;downloadname=2014027011.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rep.gov.co/es/comunicado-01-04-201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tc.gov/PressRoom/PressReleases/pr7231-1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frs.org/Meetings/MeetingDocs/ASAF/2016/December/1612-ASAF-05-AASB-DigitalCurrency.pdf" TargetMode="External"/><Relationship Id="rId4" Type="http://schemas.openxmlformats.org/officeDocument/2006/relationships/settings" Target="settings.xml"/><Relationship Id="rId9" Type="http://schemas.openxmlformats.org/officeDocument/2006/relationships/hyperlink" Target="http://www.javeriana.edu.co/personales/hbermude/contrapartida/Contrapartida856.docx" TargetMode="External"/><Relationship Id="rId14" Type="http://schemas.openxmlformats.org/officeDocument/2006/relationships/hyperlink" Target="https://www.google.com.co/url?sa=t&amp;rct=j&amp;q=&amp;esrc=s&amp;source=web&amp;cd=1&amp;cad=rja&amp;uact=8&amp;ved=0ahUKEwjn7N2d6bPRAhUHziYKHXFpAkwQFggYMAA&amp;url=http%3A%2F%2Fwww.supersociedades.gov.co%2Fnoticias%2FPaginas%2F2016%2FSupersociedades-advierte-que-en-Colombia-no-est%25C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053CD-00D2-46C9-A0CD-A3F3137B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579</Words>
  <Characters>3189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2017-01-14T21:36:00Z</dcterms:created>
  <dcterms:modified xsi:type="dcterms:W3CDTF">2017-01-14T21:36:00Z</dcterms:modified>
</cp:coreProperties>
</file>