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FAD2A" w14:textId="4A500FE0" w:rsidR="008F51B1" w:rsidRPr="008F51B1" w:rsidRDefault="008F51B1" w:rsidP="008F51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F51B1">
        <w:rPr>
          <w:position w:val="-9"/>
          <w:sz w:val="123"/>
        </w:rPr>
        <w:t>E</w:t>
      </w:r>
    </w:p>
    <w:p w14:paraId="63638F66" w14:textId="1D1C7D4D" w:rsidR="008F51B1" w:rsidRPr="008F51B1" w:rsidRDefault="008F51B1" w:rsidP="008F51B1">
      <w:r w:rsidRPr="008F51B1">
        <w:t>l tratamiento contable del pasivo pensional para las empresas es un tema que ha ido y venido en estos últimos años.</w:t>
      </w:r>
      <w:r w:rsidR="00D52A28">
        <w:t xml:space="preserve"> </w:t>
      </w:r>
      <w:r w:rsidRPr="008F51B1">
        <w:t xml:space="preserve">Los decretos </w:t>
      </w:r>
      <w:hyperlink r:id="rId8" w:history="1">
        <w:r w:rsidRPr="004B5706">
          <w:rPr>
            <w:rStyle w:val="Hipervnculo"/>
          </w:rPr>
          <w:t>2784</w:t>
        </w:r>
      </w:hyperlink>
      <w:r w:rsidRPr="008F51B1">
        <w:t xml:space="preserve"> y </w:t>
      </w:r>
      <w:hyperlink r:id="rId9" w:history="1">
        <w:r w:rsidRPr="004B5706">
          <w:rPr>
            <w:rStyle w:val="Hipervnculo"/>
          </w:rPr>
          <w:t>2420</w:t>
        </w:r>
      </w:hyperlink>
      <w:r w:rsidRPr="008F51B1">
        <w:t xml:space="preserve"> de 2012 y 2015</w:t>
      </w:r>
      <w:r w:rsidR="00592E6D">
        <w:t>,</w:t>
      </w:r>
      <w:r w:rsidRPr="008F51B1">
        <w:t xml:space="preserve"> respectivamente, no establecieron excepciones a la NIC-19, pero el decreto </w:t>
      </w:r>
      <w:hyperlink r:id="rId10" w:history="1">
        <w:r w:rsidRPr="00D52A28">
          <w:rPr>
            <w:rStyle w:val="Hipervnculo"/>
          </w:rPr>
          <w:t>2496</w:t>
        </w:r>
      </w:hyperlink>
      <w:r w:rsidRPr="008F51B1">
        <w:t xml:space="preserve"> de 2015 introdujo cambios importantes a los criterios estipulados en el estándar internacional</w:t>
      </w:r>
      <w:r w:rsidR="00466AD3">
        <w:t>;</w:t>
      </w:r>
      <w:r w:rsidRPr="008F51B1">
        <w:t xml:space="preserve"> de acuerdo con dicho decreto: “… </w:t>
      </w:r>
      <w:r w:rsidRPr="00D52A28">
        <w:rPr>
          <w:i/>
        </w:rPr>
        <w:t xml:space="preserve">Para el cálculo de los pasivos post empleo de que trata la NIC 19 dispuesta en el Anexo del Decreto 2784 2012 y en el Anexo 1 y sus modificatorios, del Decreto 2420 de 2015, los preparadores de información financiera que los tengan a su cargo, se utilizará como mejor aproximación de mercado los parámetros establecidos en el Decreto </w:t>
      </w:r>
      <w:hyperlink r:id="rId11" w:history="1">
        <w:r w:rsidRPr="00D52A28">
          <w:rPr>
            <w:rStyle w:val="Hipervnculo"/>
          </w:rPr>
          <w:t>2783</w:t>
        </w:r>
      </w:hyperlink>
      <w:r w:rsidRPr="00D52A28">
        <w:rPr>
          <w:i/>
        </w:rPr>
        <w:t xml:space="preserve"> de 2001. El Ministerio Hacienda y Público revisará cada tres (3) años dichos parámetros y efectuará, si es del caso, los ajustes que sean necesarios debidamente sustentados con los estudios técnicos correspondientes</w:t>
      </w:r>
      <w:r w:rsidRPr="008F51B1">
        <w:t xml:space="preserve"> …”</w:t>
      </w:r>
      <w:r w:rsidR="00D52A28">
        <w:t xml:space="preserve"> -el hipervínculo no está en el original-</w:t>
      </w:r>
    </w:p>
    <w:p w14:paraId="7D81318A" w14:textId="06E5446A" w:rsidR="008F51B1" w:rsidRPr="008F51B1" w:rsidRDefault="008F51B1" w:rsidP="008F51B1">
      <w:r w:rsidRPr="008F51B1">
        <w:t xml:space="preserve">Por su parte, la Contaduría General de la Nación – CGN, respetando las decisiones que se toman a instancias de la coordinación </w:t>
      </w:r>
      <w:proofErr w:type="spellStart"/>
      <w:r w:rsidRPr="008F51B1">
        <w:t>interistitucional</w:t>
      </w:r>
      <w:proofErr w:type="spellEnd"/>
      <w:r w:rsidRPr="008F51B1">
        <w:t xml:space="preserve">, también </w:t>
      </w:r>
      <w:r w:rsidR="00BF7006">
        <w:t>introdujo</w:t>
      </w:r>
      <w:r w:rsidRPr="008F51B1">
        <w:t xml:space="preserve"> una </w:t>
      </w:r>
      <w:hyperlink r:id="rId12" w:history="1">
        <w:r w:rsidRPr="008F51B1">
          <w:rPr>
            <w:rStyle w:val="Hipervnculo"/>
          </w:rPr>
          <w:t>excepción</w:t>
        </w:r>
      </w:hyperlink>
      <w:r w:rsidRPr="008F51B1">
        <w:t xml:space="preserve">, en ese mismo sentido, para las empresas de gobierno bajo el ámbito Resolución </w:t>
      </w:r>
      <w:hyperlink r:id="rId13" w:history="1">
        <w:r w:rsidRPr="00BF7006">
          <w:rPr>
            <w:rStyle w:val="Hipervnculo"/>
          </w:rPr>
          <w:t>743</w:t>
        </w:r>
      </w:hyperlink>
      <w:r w:rsidRPr="008F51B1">
        <w:t xml:space="preserve"> de 2013 (hoy Resolución </w:t>
      </w:r>
      <w:hyperlink r:id="rId14" w:history="1">
        <w:r w:rsidRPr="00D52A28">
          <w:rPr>
            <w:rStyle w:val="Hipervnculo"/>
          </w:rPr>
          <w:t>037</w:t>
        </w:r>
      </w:hyperlink>
      <w:r w:rsidRPr="008F51B1">
        <w:t xml:space="preserve"> de 2017). Lo curioso del asunto es que estas empresas (que siempre habían reclamado</w:t>
      </w:r>
      <w:r w:rsidR="00BF7006">
        <w:t xml:space="preserve"> tratamientos iguales a sus homó</w:t>
      </w:r>
      <w:r w:rsidRPr="008F51B1">
        <w:t xml:space="preserve">logas del sector privado, </w:t>
      </w:r>
      <w:r w:rsidR="00BF7006">
        <w:t>argumentand</w:t>
      </w:r>
      <w:r w:rsidRPr="008F51B1">
        <w:t xml:space="preserve">o que no es adecuado la existencia de </w:t>
      </w:r>
      <w:r w:rsidR="00BF7006" w:rsidRPr="008F51B1">
        <w:t>asimetrías</w:t>
      </w:r>
      <w:r w:rsidRPr="008F51B1">
        <w:t xml:space="preserve"> contables para empresas que participan en un mismo sector económico), no estuvieron de acuerdo con la excepción y se “movieron” </w:t>
      </w:r>
      <w:r w:rsidRPr="008F51B1">
        <w:t>en altas e</w:t>
      </w:r>
      <w:r w:rsidR="00BF7006">
        <w:t>s</w:t>
      </w:r>
      <w:r w:rsidRPr="008F51B1">
        <w:t>feras del Gobierno, esto llevó a que el Ministerio de Hacienda convocara a</w:t>
      </w:r>
      <w:r w:rsidR="00D52A28">
        <w:t xml:space="preserve"> </w:t>
      </w:r>
      <w:r w:rsidRPr="008F51B1">
        <w:t>diferentes actores para evaluar la pertinencia de las excepciones realizadas mediante las normas mencionadas.</w:t>
      </w:r>
    </w:p>
    <w:p w14:paraId="60567424" w14:textId="5ED74033" w:rsidR="008F51B1" w:rsidRPr="008F51B1" w:rsidRDefault="008F51B1" w:rsidP="008F51B1">
      <w:r w:rsidRPr="008F51B1">
        <w:t xml:space="preserve">Las empresas de gobierno ganaron el pulso, lograron “echar para atrás” la excepción, lo cual queda materializado en la </w:t>
      </w:r>
      <w:hyperlink r:id="rId15" w:history="1">
        <w:r w:rsidRPr="008F51B1">
          <w:rPr>
            <w:rStyle w:val="Hipervnculo"/>
          </w:rPr>
          <w:t>Resolución 024 de 2016</w:t>
        </w:r>
      </w:hyperlink>
      <w:r w:rsidRPr="008F51B1">
        <w:rPr>
          <w:u w:val="single"/>
        </w:rPr>
        <w:t>.</w:t>
      </w:r>
      <w:r w:rsidRPr="008F51B1">
        <w:t xml:space="preserve"> Lo paradójico del asunto es que los Ministerios no hicieron lo propio, solamente hasta finales del año pasado, </w:t>
      </w:r>
      <w:r w:rsidR="00BF7006">
        <w:t>mediante D</w:t>
      </w:r>
      <w:r w:rsidRPr="008F51B1">
        <w:t xml:space="preserve">ecreto </w:t>
      </w:r>
      <w:hyperlink r:id="rId16" w:history="1">
        <w:r w:rsidRPr="00BF7006">
          <w:rPr>
            <w:rStyle w:val="Hipervnculo"/>
          </w:rPr>
          <w:t>2131</w:t>
        </w:r>
      </w:hyperlink>
      <w:r w:rsidRPr="008F51B1">
        <w:t>, honraron el compromiso, pero con un “aderezo”, y es que ahora lo que exigen es que se revele el cálculo del pasivo pensional de acuerdo con</w:t>
      </w:r>
      <w:r w:rsidR="00BF7006">
        <w:t xml:space="preserve"> los parámetros del D</w:t>
      </w:r>
      <w:r w:rsidRPr="008F51B1">
        <w:t xml:space="preserve">ecreto </w:t>
      </w:r>
      <w:hyperlink r:id="rId17" w:history="1">
        <w:r w:rsidRPr="00BF7006">
          <w:rPr>
            <w:rStyle w:val="Hipervnculo"/>
          </w:rPr>
          <w:t>1625</w:t>
        </w:r>
      </w:hyperlink>
      <w:r w:rsidRPr="008F51B1">
        <w:t xml:space="preserve"> de 2016 y para el caso de las conmutaciones pensionales parciales, según lo establecido en el decreto </w:t>
      </w:r>
      <w:hyperlink r:id="rId18" w:history="1">
        <w:r w:rsidRPr="00BF7006">
          <w:rPr>
            <w:rStyle w:val="Hipervnculo"/>
          </w:rPr>
          <w:t>1833</w:t>
        </w:r>
      </w:hyperlink>
      <w:r w:rsidRPr="008F51B1">
        <w:t xml:space="preserve"> de 2016; es decir, se volvió a revivir los requerimientos de la NIC-19 para el tratamiento del pasivo pensional, pero con unas exigencias a nivel de revelación.</w:t>
      </w:r>
      <w:r w:rsidR="00D52A28">
        <w:t xml:space="preserve"> </w:t>
      </w:r>
      <w:r w:rsidRPr="008F51B1">
        <w:t xml:space="preserve">La CGN que ha sido muy disciplinada, emitió el correspondiente </w:t>
      </w:r>
      <w:hyperlink r:id="rId19" w:history="1">
        <w:r w:rsidRPr="008F51B1">
          <w:rPr>
            <w:rStyle w:val="Hipervnculo"/>
          </w:rPr>
          <w:t>acto administrativo</w:t>
        </w:r>
      </w:hyperlink>
      <w:r w:rsidRPr="008F51B1">
        <w:t xml:space="preserve"> mediante el cual incorpora lo establecido por el decreto.</w:t>
      </w:r>
    </w:p>
    <w:p w14:paraId="6FB27067" w14:textId="66FB0009" w:rsidR="008F51B1" w:rsidRPr="008F51B1" w:rsidRDefault="008F51B1" w:rsidP="008F51B1">
      <w:r w:rsidRPr="008F51B1">
        <w:t xml:space="preserve">Se puede discutir si el tratamiento contable del pasivo pensional debe o no corresponder con lo estipulado en la NIC-19, o </w:t>
      </w:r>
      <w:r w:rsidR="00466AD3" w:rsidRPr="008F51B1">
        <w:t>si,</w:t>
      </w:r>
      <w:r w:rsidRPr="008F51B1">
        <w:t xml:space="preserve"> por el contrario, debe atender a lo establecido en decretos como el 2783 de 2001, 1625 o 1833 de 2016; pero lo único cierto y sobre lo cual no debería existir ninguna discusión, es que no se puede seguir regulando este asunto como hasta ahora se ha hecho. </w:t>
      </w:r>
    </w:p>
    <w:p w14:paraId="3A07AAFD" w14:textId="463D344F" w:rsidR="00497DCB" w:rsidRPr="008B4076" w:rsidRDefault="008F51B1" w:rsidP="00466AD3">
      <w:pPr>
        <w:jc w:val="right"/>
      </w:pPr>
      <w:r w:rsidRPr="008F51B1">
        <w:rPr>
          <w:i/>
        </w:rPr>
        <w:t>Germán Eduardo Espinosa Flórez</w:t>
      </w:r>
    </w:p>
    <w:sectPr w:rsidR="00497DCB" w:rsidRPr="008B4076" w:rsidSect="007F1D2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9E6E" w14:textId="77777777" w:rsidR="00AE10D2" w:rsidRDefault="00AE10D2" w:rsidP="00EE7812">
      <w:pPr>
        <w:spacing w:after="0" w:line="240" w:lineRule="auto"/>
      </w:pPr>
      <w:r>
        <w:separator/>
      </w:r>
    </w:p>
  </w:endnote>
  <w:endnote w:type="continuationSeparator" w:id="0">
    <w:p w14:paraId="0F304013" w14:textId="77777777" w:rsidR="00AE10D2" w:rsidRDefault="00AE10D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517A" w14:textId="77777777" w:rsidR="006C2C89" w:rsidRDefault="006C2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4DABC" w14:textId="77777777" w:rsidR="006C2C89" w:rsidRDefault="006C2C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AD67" w14:textId="77777777" w:rsidR="00AE10D2" w:rsidRDefault="00AE10D2" w:rsidP="00EE7812">
      <w:pPr>
        <w:spacing w:after="0" w:line="240" w:lineRule="auto"/>
      </w:pPr>
      <w:r>
        <w:separator/>
      </w:r>
    </w:p>
  </w:footnote>
  <w:footnote w:type="continuationSeparator" w:id="0">
    <w:p w14:paraId="5A4686AF" w14:textId="77777777" w:rsidR="00AE10D2" w:rsidRDefault="00AE10D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7E4D1" w14:textId="77777777" w:rsidR="006C2C89" w:rsidRDefault="006C2C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123F0FA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C2C89">
      <w:t>o 2638</w:t>
    </w:r>
    <w:r w:rsidR="00D07EAA">
      <w:t xml:space="preserve">, </w:t>
    </w:r>
    <w:r w:rsidR="00CC23E2">
      <w:t xml:space="preserve">febrero </w:t>
    </w:r>
    <w:r w:rsidR="008C0047">
      <w:t>27</w:t>
    </w:r>
    <w:r w:rsidR="00D07EAA">
      <w:t xml:space="preserve"> de 2017</w:t>
    </w:r>
  </w:p>
  <w:p w14:paraId="29566F03" w14:textId="77777777" w:rsidR="00D07EAA" w:rsidRDefault="00AE10D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CC8B" w14:textId="77777777" w:rsidR="006C2C89" w:rsidRDefault="006C2C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69C"/>
    <w:rsid w:val="000847B7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722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572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BEF"/>
    <w:rsid w:val="00286C2B"/>
    <w:rsid w:val="00286CBD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C8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BA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34E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80B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972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1B1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C23"/>
    <w:rsid w:val="00922CD1"/>
    <w:rsid w:val="00922D0B"/>
    <w:rsid w:val="00922D15"/>
    <w:rsid w:val="00922F4D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BEC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CAF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0D2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0DF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BD"/>
    <w:rsid w:val="00C16AF0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69F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5A4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5E0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2-decreto-2784.pdf" TargetMode="External"/><Relationship Id="rId13" Type="http://schemas.openxmlformats.org/officeDocument/2006/relationships/hyperlink" Target="http://www.chip.gov.co/chiprt/?LO=00000001a6b7c8d90000004600000046000006e4581f13af000000000001671000000000000000000000000000000000000000000000000000000000000000000000000000000000&amp;MItypeObj=application/pdf" TargetMode="External"/><Relationship Id="rId18" Type="http://schemas.openxmlformats.org/officeDocument/2006/relationships/hyperlink" Target="https://normativa.colpensiones.gov.co/colpens/docs/decreto_1833_2016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chip.gov.co/chiprt/?LO=00000001a6b7c8d9000000460000004600000783581f144e000000000001671000000000000000000000000000000000000000000000000000000000000000000000000000000000&amp;MItypeObj=application/pdf" TargetMode="External"/><Relationship Id="rId17" Type="http://schemas.openxmlformats.org/officeDocument/2006/relationships/hyperlink" Target="http://www.javeriana.edu.co/personales/hbermude/leycontable/contadores/2016-decreto-1625.pd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2016-decreto-213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733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chip.gov.co/chiprt/?LO=00000001a6b7c8d9000000460000004600000895581f1560000000000001671000000000000000000000000000000000000000000000000000000000000000000000000000000000&amp;MItypeObj=application/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javeriana.edu.co/personales/hbermude/leycontable/contadores/2015-decreto-2496.pdf" TargetMode="External"/><Relationship Id="rId19" Type="http://schemas.openxmlformats.org/officeDocument/2006/relationships/hyperlink" Target="http://www.chip.gov.co/chiprt/?LO=00000001a6b7c8d900000046000000460028158a584720c8000000000001671000000000000000000000000000000000000000000000000000000000000000000000000000000000&amp;MItypeObj=application/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decreto-2420.pdf" TargetMode="External"/><Relationship Id="rId14" Type="http://schemas.openxmlformats.org/officeDocument/2006/relationships/hyperlink" Target="http://www.chip.gov.co/chiprt/?LO=00000001a6b7c8d900000046000000460028158a584720c8000000000001671000000000000000000000000000000000000000000000000000000000000000000000000000000000&amp;MItypeObj=application/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D825-5C6A-46E6-8CC4-B1C4FB33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749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4865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2017-02-26T19:00:00Z</dcterms:created>
  <dcterms:modified xsi:type="dcterms:W3CDTF">2017-02-26T19:00:00Z</dcterms:modified>
</cp:coreProperties>
</file>