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0703" w14:textId="7E00FABF" w:rsidR="0020035A" w:rsidRPr="0020035A" w:rsidRDefault="0020035A" w:rsidP="0020035A">
      <w:pPr>
        <w:keepNext/>
        <w:framePr w:dropCap="drop" w:lines="3" w:wrap="around" w:vAnchor="text" w:hAnchor="text"/>
        <w:spacing w:after="0" w:line="926" w:lineRule="exact"/>
        <w:textAlignment w:val="baseline"/>
        <w:rPr>
          <w:position w:val="-9"/>
          <w:sz w:val="123"/>
        </w:rPr>
      </w:pPr>
      <w:bookmarkStart w:id="0" w:name="_GoBack"/>
      <w:bookmarkEnd w:id="0"/>
      <w:r w:rsidRPr="0020035A">
        <w:rPr>
          <w:position w:val="-9"/>
          <w:sz w:val="123"/>
        </w:rPr>
        <w:t>L</w:t>
      </w:r>
    </w:p>
    <w:p w14:paraId="0966E0C6" w14:textId="4F9B4434" w:rsidR="00B668D7" w:rsidRDefault="0020035A" w:rsidP="0020035A">
      <w:r>
        <w:t xml:space="preserve">a obligación de resaltar las cuestiones claves de auditoría, a la que se refiere el ISA 701, no aplica cuando: “(…) </w:t>
      </w:r>
      <w:r w:rsidRPr="0020035A">
        <w:rPr>
          <w:i/>
        </w:rPr>
        <w:t>las disposiciones legales o reglamentarias prohíban revelar públicamente la cuestión o, en circunstancias extremadamente poco frecuentes, el auditor determine que una cuestión no se debería comunicar en el informe de auditoría porque cabe razonablemente esperar que las consecuencias adversas de hacerlo superarían los beneficios de interés público de la comunicación. (</w:t>
      </w:r>
      <w:proofErr w:type="spellStart"/>
      <w:r w:rsidRPr="0020035A">
        <w:rPr>
          <w:i/>
        </w:rPr>
        <w:t>Ref</w:t>
      </w:r>
      <w:proofErr w:type="spellEnd"/>
      <w:r w:rsidRPr="0020035A">
        <w:rPr>
          <w:i/>
        </w:rPr>
        <w:t>: Apartado A48)</w:t>
      </w:r>
      <w:r>
        <w:t xml:space="preserve"> (…)”.</w:t>
      </w:r>
    </w:p>
    <w:p w14:paraId="4D5681C8" w14:textId="151E68F4" w:rsidR="0020035A" w:rsidRDefault="0020035A" w:rsidP="0020035A">
      <w:r>
        <w:t>¿Qué reacción provocan las CCA? Como obligaciones similares existen en otras partes del mundo, ya existe literatura al respecto. En nuestro país, los contadores no son dados a tener presente las consecuencias de sus informes.</w:t>
      </w:r>
      <w:r w:rsidR="00BE1648">
        <w:t xml:space="preserve"> </w:t>
      </w:r>
      <w:r>
        <w:t>Algunos piensan que los ana</w:t>
      </w:r>
      <w:r w:rsidR="004873DD">
        <w:t>listas e inversionistas toman la</w:t>
      </w:r>
      <w:r>
        <w:t>s CCA como una forma indirecta de ponerlos en aviso de las áreas más problemáticas en cuanto a las tarea</w:t>
      </w:r>
      <w:r w:rsidR="00BE1648">
        <w:t>s</w:t>
      </w:r>
      <w:r>
        <w:t xml:space="preserve"> de reconocimiento, medición, presentación o revelación.</w:t>
      </w:r>
      <w:r w:rsidR="00625387">
        <w:t xml:space="preserve"> Aunque un</w:t>
      </w:r>
      <w:r w:rsidR="004873DD">
        <w:t>a</w:t>
      </w:r>
      <w:r w:rsidR="00625387">
        <w:t xml:space="preserve"> CCA alude a cuestiones de dificultad para el auditor, estos las comprenden como </w:t>
      </w:r>
      <w:r w:rsidR="005250C4">
        <w:t>debilidades de la información.</w:t>
      </w:r>
    </w:p>
    <w:p w14:paraId="39074728" w14:textId="28ECE5CE" w:rsidR="00D64BA0" w:rsidRDefault="004873DD" w:rsidP="00D64BA0">
      <w:r>
        <w:t>Si un auditor manifiesta que no procede la enumeración de las CCA, despertará una gran curiosidad.</w:t>
      </w:r>
      <w:r w:rsidR="00D64BA0">
        <w:t xml:space="preserve"> El actual CPACA señala: “</w:t>
      </w:r>
      <w:r w:rsidR="00D64BA0" w:rsidRPr="00D64BA0">
        <w:rPr>
          <w:i/>
        </w:rPr>
        <w:t xml:space="preserve">ART. 24.— Sustituido. </w:t>
      </w:r>
      <w:hyperlink r:id="rId8" w:history="1">
        <w:r w:rsidR="00D64BA0" w:rsidRPr="009B6542">
          <w:rPr>
            <w:rStyle w:val="Hipervnculo"/>
          </w:rPr>
          <w:t>L.E. 1755/2015</w:t>
        </w:r>
      </w:hyperlink>
      <w:r w:rsidR="00D64BA0" w:rsidRPr="00D64BA0">
        <w:rPr>
          <w:i/>
        </w:rPr>
        <w:t xml:space="preserve">, art. 1°. Informaciones y documentos reservados. Solo tendrán carácter reservado las informaciones y documentos expresamente sometidos a reserva por la Constitución Política o la ley, y en especial: ―1. Los relacionados con la defensa o seguridad </w:t>
      </w:r>
      <w:r w:rsidR="00D64BA0" w:rsidRPr="00D64BA0">
        <w:rPr>
          <w:i/>
        </w:rPr>
        <w:t>nacionales. ―2. Las instrucciones en materia diplomática o sobre negociaciones reservadas. ―3.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―5. Los datos referentes a la información financiera y comercial, en los términos de la Ley Estatutaria 1266 de 2008. ―6. Los protegidos por el secreto comercial o industrial, así como los planes estratégicos de las empresas públicas de servicios públicos. ―7. Los amparados por el secreto profesional. ―8. Los datos genéticos humanos.</w:t>
      </w:r>
      <w:r w:rsidR="00D64BA0">
        <w:t xml:space="preserve"> (…)”.</w:t>
      </w:r>
    </w:p>
    <w:p w14:paraId="2FB5667E" w14:textId="6C54C574" w:rsidR="00D64BA0" w:rsidRDefault="00D64BA0" w:rsidP="00D64BA0">
      <w:r>
        <w:t xml:space="preserve">Por su parte, el artículo 48 de la </w:t>
      </w:r>
      <w:hyperlink r:id="rId9" w:history="1">
        <w:r w:rsidRPr="009B6542">
          <w:rPr>
            <w:rStyle w:val="Hipervnculo"/>
          </w:rPr>
          <w:t>Ley 222 de 1995</w:t>
        </w:r>
      </w:hyperlink>
      <w:r>
        <w:t xml:space="preserve">, al reglamentar el derecho de inspección, establece: “(…) </w:t>
      </w:r>
      <w:r w:rsidRPr="009B6542">
        <w:rPr>
          <w:i/>
        </w:rPr>
        <w:t>En ningún caso, este derecho se extenderá a los documentos que versen sobre secretos industriales o cuando se trate de datos que de ser divulgados, puedan ser utilizado</w:t>
      </w:r>
      <w:r w:rsidR="009B6542" w:rsidRPr="009B6542">
        <w:rPr>
          <w:i/>
        </w:rPr>
        <w:t>s en detrimento de la sociedad.</w:t>
      </w:r>
      <w:r w:rsidR="009B6542">
        <w:t xml:space="preserve"> (…)”</w:t>
      </w:r>
      <w:r w:rsidR="00BE1648">
        <w:t>.</w:t>
      </w:r>
    </w:p>
    <w:p w14:paraId="4140A6E7" w14:textId="77777777" w:rsidR="00BE1648" w:rsidRDefault="00BE1648" w:rsidP="00D64BA0">
      <w:r>
        <w:t>Conviene tener claro que asuntos son reservados, para no incurrir en una violación.</w:t>
      </w:r>
    </w:p>
    <w:p w14:paraId="6888D717" w14:textId="316931AA" w:rsidR="00BE1648" w:rsidRPr="00BE1648" w:rsidRDefault="00BE1648" w:rsidP="00BE1648">
      <w:pPr>
        <w:jc w:val="right"/>
        <w:rPr>
          <w:i/>
        </w:rPr>
      </w:pPr>
      <w:r w:rsidRPr="00BE1648">
        <w:rPr>
          <w:i/>
        </w:rPr>
        <w:t>Hernando Bermúdez Gómez</w:t>
      </w:r>
    </w:p>
    <w:sectPr w:rsidR="00BE1648" w:rsidRPr="00BE164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3DD5" w14:textId="77777777" w:rsidR="003035D4" w:rsidRDefault="003035D4" w:rsidP="00EE7812">
      <w:pPr>
        <w:spacing w:after="0" w:line="240" w:lineRule="auto"/>
      </w:pPr>
      <w:r>
        <w:separator/>
      </w:r>
    </w:p>
  </w:endnote>
  <w:endnote w:type="continuationSeparator" w:id="0">
    <w:p w14:paraId="048A18D3" w14:textId="77777777" w:rsidR="003035D4" w:rsidRDefault="003035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31625" w14:textId="77777777" w:rsidR="003035D4" w:rsidRDefault="003035D4" w:rsidP="00EE7812">
      <w:pPr>
        <w:spacing w:after="0" w:line="240" w:lineRule="auto"/>
      </w:pPr>
      <w:r>
        <w:separator/>
      </w:r>
    </w:p>
  </w:footnote>
  <w:footnote w:type="continuationSeparator" w:id="0">
    <w:p w14:paraId="4C9871AA" w14:textId="77777777" w:rsidR="003035D4" w:rsidRDefault="003035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4A6FCA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0035A">
      <w:t>788</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3035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62"/>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5D4"/>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01"/>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755_20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55E3-64B7-492B-A935-9D41CF2F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2017-05-21T17:11:00Z</dcterms:created>
  <dcterms:modified xsi:type="dcterms:W3CDTF">2017-05-21T17:11:00Z</dcterms:modified>
</cp:coreProperties>
</file>