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F29F0" w14:textId="25651BA3" w:rsidR="00570246" w:rsidRPr="00570246" w:rsidRDefault="00570246" w:rsidP="0057024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570246">
        <w:rPr>
          <w:position w:val="-8"/>
          <w:sz w:val="122"/>
        </w:rPr>
        <w:t>A</w:t>
      </w:r>
    </w:p>
    <w:p w14:paraId="43BEC575" w14:textId="49047912" w:rsidR="00A529C0" w:rsidRDefault="00570246" w:rsidP="00282D75">
      <w:r>
        <w:t>unque llevamos tiempo hablando de la gerencia pública, todavía es una entelequia.</w:t>
      </w:r>
    </w:p>
    <w:p w14:paraId="4BA57A2F" w14:textId="476FE7FE" w:rsidR="006A1F6D" w:rsidRDefault="006A1F6D" w:rsidP="00282D75">
      <w:r>
        <w:t>Los buenos deseos de muchas normas se quedan escritos ante los condicionamientos que imponen los miembros de los órganos de elección popular.</w:t>
      </w:r>
      <w:r w:rsidR="00411F04">
        <w:t xml:space="preserve"> Todo lo que pretendió en esta materia la Constitución Política de 1991 se ha quedado dentro del tintero.</w:t>
      </w:r>
      <w:r w:rsidR="00DA3260">
        <w:t xml:space="preserve"> Se nos dice que estamos ante una realidad que debemos aceptar. </w:t>
      </w:r>
      <w:r w:rsidR="00847790">
        <w:t>No pensamos así.</w:t>
      </w:r>
    </w:p>
    <w:p w14:paraId="2B23D5B7" w14:textId="59C27086" w:rsidR="00847790" w:rsidRDefault="00CC010B" w:rsidP="00282D75">
      <w:r>
        <w:t>Muchos esfuerzos de miembros de la profesión contable se han quedado en planteamientos, por no conocer y no aprovechar lo que las leyes han establecido en materia de gerencia pública y de la acción de cumplimiento.</w:t>
      </w:r>
    </w:p>
    <w:p w14:paraId="1363BA05" w14:textId="06537926" w:rsidR="002755A8" w:rsidRDefault="00ED6F75" w:rsidP="00ED6F75">
      <w:r>
        <w:t xml:space="preserve">El artículo 48 de la </w:t>
      </w:r>
      <w:hyperlink r:id="rId8" w:history="1">
        <w:r w:rsidRPr="00281AB6">
          <w:rPr>
            <w:rStyle w:val="Hipervnculo"/>
          </w:rPr>
          <w:t>Ley 904 de 2004</w:t>
        </w:r>
      </w:hyperlink>
      <w:r>
        <w:t xml:space="preserve"> dice: “</w:t>
      </w:r>
      <w:r w:rsidRPr="00ED6F75">
        <w:rPr>
          <w:i/>
        </w:rPr>
        <w:t xml:space="preserve">ART. </w:t>
      </w:r>
      <w:proofErr w:type="gramStart"/>
      <w:r w:rsidRPr="00ED6F75">
        <w:rPr>
          <w:i/>
        </w:rPr>
        <w:t>48.—</w:t>
      </w:r>
      <w:proofErr w:type="gramEnd"/>
      <w:r w:rsidRPr="00ED6F75">
        <w:rPr>
          <w:i/>
        </w:rPr>
        <w:t xml:space="preserve"> Principios de la función gerencial. ―1. Los empleados que ejerzan funciones gerenciales en las entidades públicas a las cuales se refiere esta ley están obligados a actuar con objetividad, transparencia y profesionalidad en el ejercicio de su cargo, sin perjuicio de la subordinación al órgano del que dependan jerárquicamente. ―2. Los gerentes públicos formularán, junto con los jefes del organismo o entidad respectiva, las políticas públicas o las acciones estratégicas a cargo de la entidad y serán responsables de su ejecución. ―3. Los gerentes públicos están facultados para diseñar, incorporar, implantar, ejecutar y motivar la adopción de tecnologías que permitan el cumplimiento eficiente, eficaz y efectivo de los </w:t>
      </w:r>
      <w:bookmarkStart w:id="1" w:name="_Hlk486694095"/>
      <w:r w:rsidRPr="00ED6F75">
        <w:rPr>
          <w:i/>
        </w:rPr>
        <w:t>planes, programas, políticas, proyectos y metas</w:t>
      </w:r>
      <w:bookmarkEnd w:id="1"/>
      <w:r w:rsidRPr="00ED6F75">
        <w:rPr>
          <w:i/>
        </w:rPr>
        <w:t xml:space="preserve"> formulados para el cumplimiento de la </w:t>
      </w:r>
      <w:r w:rsidRPr="00ED6F75">
        <w:rPr>
          <w:i/>
        </w:rPr>
        <w:t>misión institucional. ―4. Los gerentes públicos formularán, junto con los funcionarios bajo su responsabilidad y en cumplimiento de las políticas gubernamentales, así como de las directrices de los jefes del organismo o entidad respectiva, las políticas públicas o las acciones estratégicas a cargo de la entidad y serán responsables de su ejecución. En tal sentido, darán las instrucciones pertinentes para que los evaluadores tengan en cuenta en la evaluación del desempeño los resultados por dependencias, procesos y proyectos. ―5. Los gerentes públicos están sujetos a la responsabilidad de la gestión, lo que significa que su desempeño será valorado de acuerdo con los principios de eficacia y eficiencia. El otorgamiento de incentivos dependerá de los resultados conseguidos en el ejercicio de sus funciones. ―6. Todos los puestos gerenciales estarán sujetos a un sistema de evaluación de la gestión que se establecerá reglamentariamente.</w:t>
      </w:r>
      <w:r>
        <w:t>”</w:t>
      </w:r>
    </w:p>
    <w:p w14:paraId="77CD927A" w14:textId="416F9DFF" w:rsidR="00ED6F75" w:rsidRDefault="00ED6F75" w:rsidP="00ED6F75">
      <w:r>
        <w:t>No conocemos los “</w:t>
      </w:r>
      <w:r w:rsidRPr="00ED6F75">
        <w:t>planes, programas, políticas, proyectos y metas</w:t>
      </w:r>
      <w:r>
        <w:t>” de los órganos de la profesión contable.</w:t>
      </w:r>
      <w:r w:rsidR="009E208C">
        <w:t xml:space="preserve"> La enumeración de tareas está muy lejos de ser un plan</w:t>
      </w:r>
      <w:r w:rsidR="00B837FA">
        <w:t>.</w:t>
      </w:r>
      <w:r w:rsidR="00F92588">
        <w:t xml:space="preserve"> </w:t>
      </w:r>
      <w:r w:rsidR="00551AFF">
        <w:t>Su</w:t>
      </w:r>
      <w:r w:rsidR="00F92588">
        <w:t xml:space="preserve"> descripción </w:t>
      </w:r>
      <w:r w:rsidR="00551AFF">
        <w:t>cuando</w:t>
      </w:r>
      <w:r w:rsidR="00F92588">
        <w:t xml:space="preserve"> no se centra en lo principal y </w:t>
      </w:r>
      <w:r w:rsidR="00551AFF">
        <w:t>cuando</w:t>
      </w:r>
      <w:r w:rsidR="00F92588">
        <w:t xml:space="preserve"> convierte lo accesorio en el centro de la gerencia, no </w:t>
      </w:r>
      <w:r w:rsidR="007B1346">
        <w:t>es</w:t>
      </w:r>
      <w:r w:rsidR="00F92588">
        <w:t xml:space="preserve"> adecuad</w:t>
      </w:r>
      <w:r w:rsidR="007B1346">
        <w:t>a</w:t>
      </w:r>
      <w:r w:rsidR="00F92588">
        <w:t>. El mantener por años los mismos problemas administrativos</w:t>
      </w:r>
      <w:r w:rsidR="00551AFF">
        <w:t xml:space="preserve"> habla de la falta de gerencia. El incumplimiento de los principios de transparencia y de gobierno en línea encubre miles de cuestiones que están demandando acciones que no podemos postergar.</w:t>
      </w:r>
    </w:p>
    <w:p w14:paraId="14D1BC3D" w14:textId="421A4816" w:rsidR="00551AFF" w:rsidRPr="00551AFF" w:rsidRDefault="00551AFF" w:rsidP="00551AFF">
      <w:pPr>
        <w:jc w:val="right"/>
        <w:rPr>
          <w:i/>
        </w:rPr>
      </w:pPr>
      <w:r w:rsidRPr="00551AFF">
        <w:rPr>
          <w:i/>
        </w:rPr>
        <w:t>Hernando Bermúdez Gómez</w:t>
      </w:r>
    </w:p>
    <w:sectPr w:rsidR="00551AFF" w:rsidRPr="00551AFF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A254E" w14:textId="77777777" w:rsidR="00A507C2" w:rsidRDefault="00A507C2" w:rsidP="00EE7812">
      <w:pPr>
        <w:spacing w:after="0" w:line="240" w:lineRule="auto"/>
      </w:pPr>
      <w:r>
        <w:separator/>
      </w:r>
    </w:p>
  </w:endnote>
  <w:endnote w:type="continuationSeparator" w:id="0">
    <w:p w14:paraId="3B483B9B" w14:textId="77777777" w:rsidR="00A507C2" w:rsidRDefault="00A507C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F199D" w14:textId="77777777" w:rsidR="00A507C2" w:rsidRDefault="00A507C2" w:rsidP="00EE7812">
      <w:pPr>
        <w:spacing w:after="0" w:line="240" w:lineRule="auto"/>
      </w:pPr>
      <w:r>
        <w:separator/>
      </w:r>
    </w:p>
  </w:footnote>
  <w:footnote w:type="continuationSeparator" w:id="0">
    <w:p w14:paraId="55AE1097" w14:textId="77777777" w:rsidR="00A507C2" w:rsidRDefault="00A507C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178F962E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282D75">
      <w:t>888</w:t>
    </w:r>
    <w:r w:rsidR="00D07EAA">
      <w:t>,</w:t>
    </w:r>
    <w:r w:rsidR="00FE1FFA">
      <w:t xml:space="preserve"> </w:t>
    </w:r>
    <w:r w:rsidR="00393EAE">
      <w:t>julio</w:t>
    </w:r>
    <w:r w:rsidR="00FE1FFA">
      <w:t xml:space="preserve"> </w:t>
    </w:r>
    <w:r w:rsidR="00393EAE">
      <w:t>3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A507C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EAE"/>
    <w:rsid w:val="00393F67"/>
    <w:rsid w:val="00394116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A6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B8"/>
    <w:rsid w:val="007459A5"/>
    <w:rsid w:val="00745AD4"/>
    <w:rsid w:val="00745B6B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A1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30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91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1B3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7F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7C2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64D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05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148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6B5D-B362-4C8D-9A18-976B0628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2017-07-02T17:49:00Z</dcterms:created>
  <dcterms:modified xsi:type="dcterms:W3CDTF">2017-07-02T17:49:00Z</dcterms:modified>
</cp:coreProperties>
</file>