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408C6" w14:textId="162B2B54" w:rsidR="00DB47A9" w:rsidRPr="00DB47A9" w:rsidRDefault="00DB47A9" w:rsidP="00DB47A9">
      <w:pPr>
        <w:keepNext/>
        <w:framePr w:dropCap="drop" w:lines="3" w:wrap="around" w:vAnchor="text" w:hAnchor="text"/>
        <w:spacing w:after="0" w:line="926" w:lineRule="exact"/>
        <w:textAlignment w:val="baseline"/>
        <w:rPr>
          <w:position w:val="-9"/>
          <w:sz w:val="123"/>
        </w:rPr>
      </w:pPr>
      <w:bookmarkStart w:id="0" w:name="_GoBack"/>
      <w:bookmarkEnd w:id="0"/>
      <w:r w:rsidRPr="00DB47A9">
        <w:rPr>
          <w:position w:val="-9"/>
          <w:sz w:val="123"/>
        </w:rPr>
        <w:t>E</w:t>
      </w:r>
    </w:p>
    <w:p w14:paraId="35F7982A" w14:textId="2BB9DF84" w:rsidR="00F633A6" w:rsidRDefault="00DB47A9" w:rsidP="008D1351">
      <w:r>
        <w:t xml:space="preserve">l encabezamiento que está incluyendo el Consejo Técnico de la Contaduría Pública </w:t>
      </w:r>
      <w:r w:rsidR="007A5E94">
        <w:t>en sus oficios</w:t>
      </w:r>
      <w:r w:rsidR="00101646">
        <w:t>,</w:t>
      </w:r>
      <w:r w:rsidR="007A5E94">
        <w:t xml:space="preserve"> </w:t>
      </w:r>
      <w:r>
        <w:t>muestra la falta de rigor jurídico que tiene este organismo.</w:t>
      </w:r>
    </w:p>
    <w:p w14:paraId="1640EB0E" w14:textId="3117CA6F" w:rsidR="00DB47A9" w:rsidRDefault="00DB47A9" w:rsidP="008D1351">
      <w:r>
        <w:t>Se dice: “</w:t>
      </w:r>
      <w:r w:rsidR="00E81762" w:rsidRPr="00E81762">
        <w:rPr>
          <w:i/>
        </w:rPr>
        <w:t>El  Consejo  Técnico  de  la  Contaduria  Publica  (CTCP)  en  su  carácter  de  Organismo  de  Normalización  Técnica  de  Normas de  Contabilidad,  de  Información  Financiera  y  de  Aseguramiento  de  la  Información,  de  acuerdo  con  lo  dispuesto  en  el Decreto  Único  2420  de  2015,  modificado  por  los  Decretos  2496  de  2015,  2131  y  2132  de  2016,  en  los  cuales  se  faculta  al CTCP  para  resolver  las  inquietudes  que  se  formulen  en  desarrollo  de  la  adecuada  aplicación  de  los  marcos  técnicos normativos  de  las  normas  de  información  financiera  y  de  aseguramiento  de  la  información,  y  el  numeral  30  del  Artículo  33 de  la  Ley  43  de  1990,  que  señala  como  una  de  sus  funciones  el  de  servir  de  órgano  asesor  y  consultor  del  Estado  y  de los  particulares  en  todos  los  aspectos  técnicos  relacionados  con  el  desarrollo  y  el  ejercicio  de  la  profesión,  procede  a  dar respuesta  a  una  consulta  en  los  siguientes  términos.</w:t>
      </w:r>
      <w:r w:rsidR="00E81762">
        <w:t>”.</w:t>
      </w:r>
    </w:p>
    <w:p w14:paraId="78BDCB81" w14:textId="6E7B7B1F" w:rsidR="00E81762" w:rsidRDefault="00543E7A" w:rsidP="008D1351">
      <w:r>
        <w:t xml:space="preserve">Las cosas son exactamente al revés de como las expone el citado organismo. Fue la </w:t>
      </w:r>
      <w:hyperlink r:id="rId8" w:history="1">
        <w:r w:rsidRPr="008C7418">
          <w:rPr>
            <w:rStyle w:val="Hipervnculo"/>
          </w:rPr>
          <w:t>Ley 43 de 1990</w:t>
        </w:r>
      </w:hyperlink>
      <w:r>
        <w:t xml:space="preserve"> la que instituyó a la entidad en consejera de unos y otros. Y es en desarrollo de ello que normas reglamentarias pueden indicar que le corresponde, está obligada, es su función, resolver los derechos de petición que</w:t>
      </w:r>
      <w:r w:rsidR="008C7418">
        <w:t xml:space="preserve"> ante ella ejerzan las personas, los cuales, obviamente, están sujetos al Código de </w:t>
      </w:r>
      <w:r w:rsidR="008C7418">
        <w:t>Procedimiento Administrativo y de lo Contencioso Administrativo.</w:t>
      </w:r>
    </w:p>
    <w:p w14:paraId="122F4448" w14:textId="1269F4C9" w:rsidR="005013BD" w:rsidRDefault="00101646" w:rsidP="008D1351">
      <w:r>
        <w:t>Cuando no se tiene claro qué</w:t>
      </w:r>
      <w:r w:rsidR="005013BD">
        <w:t xml:space="preserve"> puede hacerse y qué no mediante un decreto reglamentario y cuando no se domina el tema de la jerarquía de las normas, se pueden concebir párrafos como el transcrito en el que se da a entender que las consultas se resuelven “en su carácter” de normalizador, cuando en verdad se atienden en su carácter de Consejo</w:t>
      </w:r>
      <w:r w:rsidR="00444C3A">
        <w:t>, creado para asesorar y prestar servicios de consultoría a los interesados.</w:t>
      </w:r>
      <w:r w:rsidR="005013BD">
        <w:t xml:space="preserve"> </w:t>
      </w:r>
    </w:p>
    <w:p w14:paraId="05E07381" w14:textId="7B37FB74" w:rsidR="00101646" w:rsidRDefault="00167197" w:rsidP="008D1351">
      <w:r>
        <w:t>¿Qué efecto han tenido las orientaciones expedidas por el CTCP? ¿Han sido de buen recibo por parte de los preparadores y los aseguradores de información? ¿Por qué sin estudios que demuestren la bondad de esta estrategia</w:t>
      </w:r>
      <w:r w:rsidR="0043426D">
        <w:t>,</w:t>
      </w:r>
      <w:r>
        <w:t xml:space="preserve"> el organi</w:t>
      </w:r>
      <w:r w:rsidR="00EB0C77">
        <w:t>smo está pensando en expedir unas nueva</w:t>
      </w:r>
      <w:r>
        <w:t>s?</w:t>
      </w:r>
    </w:p>
    <w:p w14:paraId="5BA41717" w14:textId="5A602561" w:rsidR="0043426D" w:rsidRDefault="00061527" w:rsidP="008D1351">
      <w:r>
        <w:t xml:space="preserve">Mientras tanto, nos gustaría que todos los oficios citados en los decretos expedidos en desarrollo de la Ley 1314 de 2009, estuvieran disponibles en la página web de la entidad, pues es en ellos que se encuentran </w:t>
      </w:r>
      <w:r w:rsidR="003D4C2F">
        <w:t>sus</w:t>
      </w:r>
      <w:r>
        <w:t xml:space="preserve"> más importantes pronunciamientos doctrinales.</w:t>
      </w:r>
    </w:p>
    <w:p w14:paraId="51685DE7" w14:textId="66918F8F" w:rsidR="00EB0C77" w:rsidRDefault="000E5B81" w:rsidP="008D1351">
      <w:r>
        <w:t xml:space="preserve">Sabemos que muchas posiciones del Consejo se expresan individualmente por los consejeros en eventos que siempre son pequeños frente al universo de interesados y que, de ninguna manera, son el medio legal para difundir sus opiniones. En lugar de tantas </w:t>
      </w:r>
      <w:r w:rsidRPr="000E5B81">
        <w:rPr>
          <w:i/>
        </w:rPr>
        <w:t>ex catedra</w:t>
      </w:r>
      <w:r>
        <w:t xml:space="preserve"> orales, nos gustaría verlas reunidas, ordenadamente, en pronunciamientos oficiales</w:t>
      </w:r>
      <w:r w:rsidR="001D6C6B">
        <w:t>, es decir, respaldados por quienes las aprueban.</w:t>
      </w:r>
    </w:p>
    <w:p w14:paraId="533BC75B" w14:textId="373F090E" w:rsidR="001D6C6B" w:rsidRPr="001D6C6B" w:rsidRDefault="001D6C6B" w:rsidP="001D6C6B">
      <w:pPr>
        <w:jc w:val="right"/>
        <w:rPr>
          <w:i/>
        </w:rPr>
      </w:pPr>
      <w:r w:rsidRPr="001D6C6B">
        <w:rPr>
          <w:i/>
        </w:rPr>
        <w:t>Hernando Bermúdez Gómez</w:t>
      </w:r>
    </w:p>
    <w:sectPr w:rsidR="001D6C6B" w:rsidRPr="001D6C6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CD70" w14:textId="77777777" w:rsidR="005A16C9" w:rsidRDefault="005A16C9" w:rsidP="00EE7812">
      <w:pPr>
        <w:spacing w:after="0" w:line="240" w:lineRule="auto"/>
      </w:pPr>
      <w:r>
        <w:separator/>
      </w:r>
    </w:p>
  </w:endnote>
  <w:endnote w:type="continuationSeparator" w:id="0">
    <w:p w14:paraId="4CB97A4B" w14:textId="77777777" w:rsidR="005A16C9" w:rsidRDefault="005A1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A5E9" w14:textId="77777777" w:rsidR="005A16C9" w:rsidRDefault="005A16C9" w:rsidP="00EE7812">
      <w:pPr>
        <w:spacing w:after="0" w:line="240" w:lineRule="auto"/>
      </w:pPr>
      <w:r>
        <w:separator/>
      </w:r>
    </w:p>
  </w:footnote>
  <w:footnote w:type="continuationSeparator" w:id="0">
    <w:p w14:paraId="6CF20DCB" w14:textId="77777777" w:rsidR="005A16C9" w:rsidRDefault="005A16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CC6BC1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D1351">
      <w:t>921</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5A16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616"/>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6C9"/>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5453-102B-4241-A044-A972097B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2017-07-15T20:32:00Z</dcterms:created>
  <dcterms:modified xsi:type="dcterms:W3CDTF">2017-07-15T20:32:00Z</dcterms:modified>
</cp:coreProperties>
</file>