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5485F" w14:textId="36BF295E" w:rsidR="004217E6" w:rsidRPr="004217E6" w:rsidRDefault="004217E6" w:rsidP="004217E6">
      <w:pPr>
        <w:keepNext/>
        <w:framePr w:dropCap="drop" w:lines="3" w:wrap="around" w:vAnchor="text" w:hAnchor="text"/>
        <w:spacing w:after="0" w:line="926" w:lineRule="exact"/>
        <w:textAlignment w:val="baseline"/>
        <w:rPr>
          <w:position w:val="-9"/>
          <w:sz w:val="123"/>
        </w:rPr>
      </w:pPr>
      <w:bookmarkStart w:id="0" w:name="_GoBack"/>
      <w:bookmarkEnd w:id="0"/>
      <w:r w:rsidRPr="004217E6">
        <w:rPr>
          <w:position w:val="-9"/>
          <w:sz w:val="123"/>
        </w:rPr>
        <w:t>B</w:t>
      </w:r>
    </w:p>
    <w:p w14:paraId="3F5B37CB" w14:textId="2BE938A4" w:rsidR="00CC4B17" w:rsidRDefault="004217E6" w:rsidP="008465A5">
      <w:r>
        <w:t xml:space="preserve">ien vale la pena recordar el sistema de estándares propuesto por el </w:t>
      </w:r>
      <w:hyperlink r:id="rId8" w:history="1">
        <w:r w:rsidRPr="004217E6">
          <w:rPr>
            <w:rStyle w:val="Hipervnculo"/>
          </w:rPr>
          <w:t>FSB</w:t>
        </w:r>
      </w:hyperlink>
      <w:r>
        <w:t>, del cual forman parte tanto las normas internacionales de información financiera, como las normas de auditoría de información financiera histórica.</w:t>
      </w:r>
    </w:p>
    <w:p w14:paraId="2D2EA341" w14:textId="27A2BC15" w:rsidR="004217E6" w:rsidRDefault="0097326E" w:rsidP="008465A5">
      <w:r>
        <w:t>Así como no hay que olvidar el papel que dichas normas tienen para el sistema financiero, tampoco hay que pasar por alto la escasa participación que nuestras empresas tienen en él.</w:t>
      </w:r>
    </w:p>
    <w:p w14:paraId="29162B07" w14:textId="052E3340" w:rsidR="00EA6129" w:rsidRDefault="00EA6129" w:rsidP="008465A5">
      <w:r>
        <w:t>Con la expedición de</w:t>
      </w:r>
      <w:r w:rsidR="00DE3898">
        <w:t xml:space="preserve">l </w:t>
      </w:r>
      <w:hyperlink r:id="rId9" w:history="1">
        <w:r w:rsidR="00DE3898" w:rsidRPr="00DE3898">
          <w:rPr>
            <w:rStyle w:val="Hipervnculo"/>
          </w:rPr>
          <w:t>IFRS 17</w:t>
        </w:r>
      </w:hyperlink>
      <w:r w:rsidR="00DE3898">
        <w:t>, IASB se ha pronunciado sobre una industria colosal, bastante renuente al cambio.</w:t>
      </w:r>
      <w:r w:rsidR="00D9750A">
        <w:t xml:space="preserve"> </w:t>
      </w:r>
    </w:p>
    <w:p w14:paraId="5870CB48" w14:textId="7EF53284" w:rsidR="008F1842" w:rsidRPr="008F1842" w:rsidRDefault="008F1842" w:rsidP="008465A5">
      <w:pPr>
        <w:rPr>
          <w:lang w:val="en-US"/>
        </w:rPr>
      </w:pPr>
      <w:proofErr w:type="spellStart"/>
      <w:r w:rsidRPr="008F1842">
        <w:rPr>
          <w:lang w:val="en-US"/>
        </w:rPr>
        <w:t>Según</w:t>
      </w:r>
      <w:proofErr w:type="spellEnd"/>
      <w:r w:rsidRPr="008F1842">
        <w:rPr>
          <w:lang w:val="en-US"/>
        </w:rPr>
        <w:t xml:space="preserve"> IASB, “</w:t>
      </w:r>
      <w:r w:rsidRPr="008F1842">
        <w:rPr>
          <w:i/>
          <w:lang w:val="en-US"/>
        </w:rPr>
        <w:t xml:space="preserve">Insurance contracts combine features of both a financial instrument and a service contract. In addition, many insurance contracts generate cash flows with substantial </w:t>
      </w:r>
      <w:r w:rsidR="00637DA1">
        <w:rPr>
          <w:i/>
          <w:lang w:val="en-US"/>
        </w:rPr>
        <w:t xml:space="preserve">variability over a long period. </w:t>
      </w:r>
      <w:r w:rsidRPr="008F1842">
        <w:rPr>
          <w:i/>
          <w:lang w:val="en-US"/>
        </w:rPr>
        <w:t xml:space="preserve">To provide useful information about these features, IFRS 17: ―combines current measurement of the future cash flows with the recognition of profit over the period that services are provided under the contract; ―presents insurance service results (including presentation of insurance revenue) separately from insurance finance income or expenses; and ―requires an entity to make an accounting policy choice of whether to </w:t>
      </w:r>
      <w:proofErr w:type="spellStart"/>
      <w:r w:rsidRPr="008F1842">
        <w:rPr>
          <w:i/>
          <w:lang w:val="en-US"/>
        </w:rPr>
        <w:t>recognise</w:t>
      </w:r>
      <w:proofErr w:type="spellEnd"/>
      <w:r w:rsidRPr="008F1842">
        <w:rPr>
          <w:i/>
          <w:lang w:val="en-US"/>
        </w:rPr>
        <w:t xml:space="preserve"> all insurance finance income or expenses in profit or loss or to </w:t>
      </w:r>
      <w:proofErr w:type="spellStart"/>
      <w:r w:rsidRPr="008F1842">
        <w:rPr>
          <w:i/>
          <w:lang w:val="en-US"/>
        </w:rPr>
        <w:t>recognise</w:t>
      </w:r>
      <w:proofErr w:type="spellEnd"/>
      <w:r w:rsidRPr="008F1842">
        <w:rPr>
          <w:i/>
          <w:lang w:val="en-US"/>
        </w:rPr>
        <w:t xml:space="preserve"> some of that income or expenses in other comprehensive income.</w:t>
      </w:r>
      <w:r>
        <w:rPr>
          <w:lang w:val="en-US"/>
        </w:rPr>
        <w:t>”</w:t>
      </w:r>
    </w:p>
    <w:p w14:paraId="39F729EE" w14:textId="2D573195" w:rsidR="00D9750A" w:rsidRDefault="00D9750A" w:rsidP="008465A5">
      <w:pPr>
        <w:rPr>
          <w:lang w:val="es-ES"/>
        </w:rPr>
      </w:pPr>
      <w:r w:rsidRPr="00D9750A">
        <w:rPr>
          <w:lang w:val="en-US"/>
        </w:rPr>
        <w:t xml:space="preserve">FSB </w:t>
      </w:r>
      <w:proofErr w:type="spellStart"/>
      <w:r w:rsidRPr="00D9750A">
        <w:rPr>
          <w:lang w:val="en-US"/>
        </w:rPr>
        <w:t>señaló</w:t>
      </w:r>
      <w:proofErr w:type="spellEnd"/>
      <w:r w:rsidRPr="00D9750A">
        <w:rPr>
          <w:lang w:val="en-US"/>
        </w:rPr>
        <w:t>: “</w:t>
      </w:r>
      <w:r w:rsidRPr="00D9750A">
        <w:rPr>
          <w:i/>
          <w:lang w:val="en-US"/>
        </w:rPr>
        <w:t xml:space="preserve">Subject to the relevant endorsement or adoption procedures in IFRS jurisdictions, the standard will become effective on 1 January 2021, which provides </w:t>
      </w:r>
      <w:r w:rsidRPr="00D9750A">
        <w:rPr>
          <w:i/>
          <w:lang w:val="en-US"/>
        </w:rPr>
        <w:t xml:space="preserve">enough time for insurers to adapt processes, systems and </w:t>
      </w:r>
      <w:proofErr w:type="spellStart"/>
      <w:r w:rsidRPr="00D9750A">
        <w:rPr>
          <w:i/>
          <w:lang w:val="en-US"/>
        </w:rPr>
        <w:t>organisational</w:t>
      </w:r>
      <w:proofErr w:type="spellEnd"/>
      <w:r w:rsidRPr="00D9750A">
        <w:rPr>
          <w:i/>
          <w:lang w:val="en-US"/>
        </w:rPr>
        <w:t xml:space="preserve"> structures. Nevertheless, the FSB encourages firms to start the implementation efforts as soon as possible, and to engage in open dialogue with the IASB on the ways in which the standard’s application can generate the most relevant information. Insurance regulators should be part of this dialogue, and may consider how best to support consistent and practical application of the standard.</w:t>
      </w:r>
      <w:r>
        <w:rPr>
          <w:lang w:val="en-US"/>
        </w:rPr>
        <w:t xml:space="preserve">” </w:t>
      </w:r>
      <w:r w:rsidRPr="00D9750A">
        <w:rPr>
          <w:lang w:val="es-ES"/>
        </w:rPr>
        <w:t>Seguramente es el mayor plazo para adaptación previsto por IASB, que suele pensar en un, dos o cinco años.</w:t>
      </w:r>
    </w:p>
    <w:p w14:paraId="0515F5A7" w14:textId="04FD6E63" w:rsidR="007D3AA2" w:rsidRDefault="00637DA1" w:rsidP="008F1842">
      <w:pPr>
        <w:rPr>
          <w:lang w:val="es-ES"/>
        </w:rPr>
      </w:pPr>
      <w:r w:rsidRPr="00637DA1">
        <w:rPr>
          <w:lang w:val="es-ES"/>
        </w:rPr>
        <w:t xml:space="preserve">En nuestro país, las compañías aseguradoras han llevado las primas al ingreso </w:t>
      </w:r>
      <w:r w:rsidR="00030588">
        <w:rPr>
          <w:lang w:val="es-ES"/>
        </w:rPr>
        <w:t>(</w:t>
      </w:r>
      <w:r w:rsidR="00030588" w:rsidRPr="00030588">
        <w:rPr>
          <w:lang w:val="es-ES"/>
        </w:rPr>
        <w:t>4121</w:t>
      </w:r>
      <w:r w:rsidR="00CC6CF3">
        <w:rPr>
          <w:lang w:val="es-ES"/>
        </w:rPr>
        <w:t xml:space="preserve"> </w:t>
      </w:r>
      <w:r w:rsidR="00030588" w:rsidRPr="00030588">
        <w:rPr>
          <w:lang w:val="es-ES"/>
        </w:rPr>
        <w:t>PRIMAS EMITIDAS</w:t>
      </w:r>
      <w:r w:rsidR="00CC6CF3">
        <w:rPr>
          <w:lang w:val="es-ES"/>
        </w:rPr>
        <w:t xml:space="preserve">) </w:t>
      </w:r>
      <w:r w:rsidRPr="00637DA1">
        <w:rPr>
          <w:lang w:val="es-ES"/>
        </w:rPr>
        <w:t>y una reserva contr</w:t>
      </w:r>
      <w:r>
        <w:rPr>
          <w:lang w:val="es-ES"/>
        </w:rPr>
        <w:t>a</w:t>
      </w:r>
      <w:r w:rsidRPr="00637DA1">
        <w:rPr>
          <w:lang w:val="es-ES"/>
        </w:rPr>
        <w:t xml:space="preserve"> el gasto</w:t>
      </w:r>
      <w:r w:rsidR="00CC6CF3">
        <w:rPr>
          <w:lang w:val="es-ES"/>
        </w:rPr>
        <w:t xml:space="preserve"> (</w:t>
      </w:r>
      <w:r w:rsidR="00CC6CF3" w:rsidRPr="00CC6CF3">
        <w:rPr>
          <w:lang w:val="es-ES"/>
        </w:rPr>
        <w:t>5144</w:t>
      </w:r>
      <w:r w:rsidR="00CC6CF3">
        <w:rPr>
          <w:lang w:val="es-ES"/>
        </w:rPr>
        <w:t xml:space="preserve"> </w:t>
      </w:r>
      <w:r w:rsidR="00CC6CF3" w:rsidRPr="00CC6CF3">
        <w:rPr>
          <w:lang w:val="es-ES"/>
        </w:rPr>
        <w:t>CONSTITUCIÓN RESERVA PARA SINIESTROS NO AVISADOS</w:t>
      </w:r>
      <w:r w:rsidR="00CC6CF3">
        <w:rPr>
          <w:lang w:val="es-ES"/>
        </w:rPr>
        <w:t>)</w:t>
      </w:r>
      <w:r w:rsidRPr="00637DA1">
        <w:rPr>
          <w:lang w:val="es-ES"/>
        </w:rPr>
        <w:t>.</w:t>
      </w:r>
    </w:p>
    <w:p w14:paraId="09806E10" w14:textId="47F82DFB" w:rsidR="00784D7D" w:rsidRDefault="00C94CBC" w:rsidP="008F1842">
      <w:pPr>
        <w:rPr>
          <w:lang w:val="es-ES"/>
        </w:rPr>
      </w:pPr>
      <w:r>
        <w:rPr>
          <w:lang w:val="es-ES"/>
        </w:rPr>
        <w:t>Las compañías de seguros son uno de los más grandes inversionistas institucionales. Por lo general sus operaciones tienen un impacto significativo en el comportamiento del mercado de valores. Como se recordará, en nuestro país, el Estado suele intervenir sus colocaciones, distribuyéndolas en diversas clases.</w:t>
      </w:r>
      <w:r w:rsidR="006E1A2F">
        <w:rPr>
          <w:lang w:val="es-ES"/>
        </w:rPr>
        <w:t xml:space="preserve"> Es evidente que su actividad es altamente financiera.</w:t>
      </w:r>
    </w:p>
    <w:p w14:paraId="1708DE1D" w14:textId="35ABB7D8" w:rsidR="006E1A2F" w:rsidRDefault="006E1A2F" w:rsidP="00285DA8">
      <w:pPr>
        <w:rPr>
          <w:lang w:val="es-ES"/>
        </w:rPr>
      </w:pPr>
      <w:r>
        <w:rPr>
          <w:lang w:val="es-ES"/>
        </w:rPr>
        <w:t>A nivel internacional</w:t>
      </w:r>
      <w:r w:rsidR="006914C4">
        <w:rPr>
          <w:lang w:val="es-ES"/>
        </w:rPr>
        <w:t>,</w:t>
      </w:r>
      <w:r>
        <w:rPr>
          <w:lang w:val="es-ES"/>
        </w:rPr>
        <w:t xml:space="preserve"> </w:t>
      </w:r>
      <w:hyperlink r:id="rId10" w:history="1">
        <w:r w:rsidRPr="006E1A2F">
          <w:rPr>
            <w:rStyle w:val="Hipervnculo"/>
            <w:lang w:val="es-ES"/>
          </w:rPr>
          <w:t>IAIS</w:t>
        </w:r>
      </w:hyperlink>
      <w:r>
        <w:rPr>
          <w:lang w:val="es-ES"/>
        </w:rPr>
        <w:t xml:space="preserve"> se ocupa de orientar este sector. Este organismo internacional también forma parte del anillo de instituciones que rodea al FSB. </w:t>
      </w:r>
      <w:r w:rsidR="006914C4">
        <w:rPr>
          <w:lang w:val="es-ES"/>
        </w:rPr>
        <w:t>Previamente, en mayo</w:t>
      </w:r>
      <w:r w:rsidR="00285DA8">
        <w:rPr>
          <w:lang w:val="es-ES"/>
        </w:rPr>
        <w:t xml:space="preserve"> de 2006, IAIS publicó un </w:t>
      </w:r>
      <w:r w:rsidR="00285DA8" w:rsidRPr="00285DA8">
        <w:rPr>
          <w:lang w:val="es-ES"/>
        </w:rPr>
        <w:t>SURVEY REPORT</w:t>
      </w:r>
      <w:r w:rsidR="00285DA8">
        <w:rPr>
          <w:lang w:val="es-ES"/>
        </w:rPr>
        <w:t xml:space="preserve"> </w:t>
      </w:r>
      <w:r w:rsidR="00285DA8" w:rsidRPr="00285DA8">
        <w:rPr>
          <w:lang w:val="es-ES"/>
        </w:rPr>
        <w:t>IMPACT UPON SUPERVISORS OF</w:t>
      </w:r>
      <w:r w:rsidR="00285DA8">
        <w:rPr>
          <w:lang w:val="es-ES"/>
        </w:rPr>
        <w:t xml:space="preserve"> </w:t>
      </w:r>
      <w:r w:rsidR="00285DA8" w:rsidRPr="00285DA8">
        <w:rPr>
          <w:lang w:val="es-ES"/>
        </w:rPr>
        <w:t>IMPLEMENTATION OF IFRS</w:t>
      </w:r>
      <w:r w:rsidR="00285DA8">
        <w:rPr>
          <w:lang w:val="es-ES"/>
        </w:rPr>
        <w:t xml:space="preserve">, en el cual se analiza la aplicación de </w:t>
      </w:r>
      <w:hyperlink r:id="rId11" w:history="1">
        <w:r w:rsidR="00285DA8" w:rsidRPr="00910A67">
          <w:rPr>
            <w:rStyle w:val="Hipervnculo"/>
            <w:lang w:val="es-ES"/>
          </w:rPr>
          <w:t>IFRS 4</w:t>
        </w:r>
      </w:hyperlink>
      <w:r w:rsidR="00285DA8">
        <w:rPr>
          <w:lang w:val="es-ES"/>
        </w:rPr>
        <w:t>.</w:t>
      </w:r>
    </w:p>
    <w:p w14:paraId="17B8B0FD" w14:textId="02C81832" w:rsidR="006914C4" w:rsidRPr="006914C4" w:rsidRDefault="006914C4" w:rsidP="006914C4">
      <w:pPr>
        <w:jc w:val="right"/>
        <w:rPr>
          <w:i/>
          <w:lang w:val="es-ES"/>
        </w:rPr>
      </w:pPr>
      <w:r w:rsidRPr="006914C4">
        <w:rPr>
          <w:i/>
          <w:lang w:val="es-ES"/>
        </w:rPr>
        <w:t>Hernando Bermúdez Gómez</w:t>
      </w:r>
    </w:p>
    <w:sectPr w:rsidR="006914C4" w:rsidRPr="006914C4"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58663" w14:textId="77777777" w:rsidR="005A2C86" w:rsidRDefault="005A2C86" w:rsidP="00EE7812">
      <w:pPr>
        <w:spacing w:after="0" w:line="240" w:lineRule="auto"/>
      </w:pPr>
      <w:r>
        <w:separator/>
      </w:r>
    </w:p>
  </w:endnote>
  <w:endnote w:type="continuationSeparator" w:id="0">
    <w:p w14:paraId="75560FF0" w14:textId="77777777" w:rsidR="005A2C86" w:rsidRDefault="005A2C8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B2196" w14:textId="77777777" w:rsidR="005A2C86" w:rsidRDefault="005A2C86" w:rsidP="00EE7812">
      <w:pPr>
        <w:spacing w:after="0" w:line="240" w:lineRule="auto"/>
      </w:pPr>
      <w:r>
        <w:separator/>
      </w:r>
    </w:p>
  </w:footnote>
  <w:footnote w:type="continuationSeparator" w:id="0">
    <w:p w14:paraId="2037483A" w14:textId="77777777" w:rsidR="005A2C86" w:rsidRDefault="005A2C8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C366FBB"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8465A5">
      <w:t>955</w:t>
    </w:r>
    <w:r w:rsidR="00D07EAA">
      <w:t>,</w:t>
    </w:r>
    <w:r w:rsidR="00FE1FFA">
      <w:t xml:space="preserve"> </w:t>
    </w:r>
    <w:r w:rsidR="00393EAE">
      <w:t>julio</w:t>
    </w:r>
    <w:r w:rsidR="00FE1FFA">
      <w:t xml:space="preserve"> </w:t>
    </w:r>
    <w:r w:rsidR="004258DD">
      <w:t>31</w:t>
    </w:r>
    <w:r w:rsidR="00FE1FFA">
      <w:t xml:space="preserve"> </w:t>
    </w:r>
    <w:r w:rsidR="00D07EAA">
      <w:t>de</w:t>
    </w:r>
    <w:r w:rsidR="00FE1FFA">
      <w:t xml:space="preserve"> </w:t>
    </w:r>
    <w:r w:rsidR="00D07EAA">
      <w:t>2017</w:t>
    </w:r>
  </w:p>
  <w:p w14:paraId="29566F03" w14:textId="77777777" w:rsidR="00D07EAA" w:rsidRDefault="005A2C8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8"/>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BB"/>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C86"/>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0F0"/>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styleId="Mencinsinresolver">
    <w:name w:val="Unresolved Mention"/>
    <w:basedOn w:val="Fuentedeprrafopredeter"/>
    <w:uiPriority w:val="99"/>
    <w:semiHidden/>
    <w:unhideWhenUsed/>
    <w:rsid w:val="006F13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b.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rs.org/issued-standards/list-of-standards/ifrs-4-insurance-contrac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aisweb.org/home" TargetMode="External"/><Relationship Id="rId4" Type="http://schemas.openxmlformats.org/officeDocument/2006/relationships/settings" Target="settings.xml"/><Relationship Id="rId9" Type="http://schemas.openxmlformats.org/officeDocument/2006/relationships/hyperlink" Target="http://www.ifrs.org/issued-standards/list-of-standards/ifrs-17-insurance-contrac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2CFD8-3271-4293-82D5-7683525B0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2711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2017-07-30T18:20:00Z</dcterms:created>
  <dcterms:modified xsi:type="dcterms:W3CDTF">2017-07-30T18:20:00Z</dcterms:modified>
</cp:coreProperties>
</file>