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A1B7" w14:textId="588BD812" w:rsidR="00B24915" w:rsidRPr="00B24915" w:rsidRDefault="00B24915" w:rsidP="00B2491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24915">
        <w:rPr>
          <w:position w:val="-9"/>
          <w:sz w:val="123"/>
        </w:rPr>
        <w:t>E</w:t>
      </w:r>
    </w:p>
    <w:p w14:paraId="06B9AF3B" w14:textId="38DC7E94" w:rsidR="00A2798F" w:rsidRDefault="00B24915" w:rsidP="00DD25E8">
      <w:r>
        <w:t xml:space="preserve">n su momento censuramos que, además de la conciliación y las revelaciones establecidas por las normas de contabilidad y de información financiera, la </w:t>
      </w:r>
      <w:hyperlink r:id="rId8" w:history="1">
        <w:r w:rsidRPr="00813CF5">
          <w:rPr>
            <w:rStyle w:val="Hipervnculo"/>
          </w:rPr>
          <w:t>Ley 1819 de 2016</w:t>
        </w:r>
      </w:hyperlink>
      <w:r>
        <w:t xml:space="preserve"> hubiese consagrado otro reporte de diferencias a la autoridad tributaria. Al ver el </w:t>
      </w:r>
      <w:hyperlink r:id="rId9" w:history="1">
        <w:r w:rsidRPr="00813CF5">
          <w:rPr>
            <w:rStyle w:val="Hipervnculo"/>
          </w:rPr>
          <w:t>proyecto de decreto tributario</w:t>
        </w:r>
      </w:hyperlink>
      <w:r>
        <w:t xml:space="preserve"> sobre esta materia, confirmamos nuestra primera </w:t>
      </w:r>
      <w:r w:rsidR="00813CF5">
        <w:t>reacción.</w:t>
      </w:r>
    </w:p>
    <w:p w14:paraId="7DF0C330" w14:textId="3592EF71" w:rsidR="00E93B22" w:rsidRDefault="00E93B22" w:rsidP="00DD25E8">
      <w:r>
        <w:t>Se sigue diciendo que se tomaron como punto de partida las cifras de la contabilidad, pero se les depura de tal manera que de ésta no queda mucha cosa.</w:t>
      </w:r>
      <w:r w:rsidR="002E4F66">
        <w:t xml:space="preserve"> Se trata de una “interrelación” como la bautiza el proyecto de decreto, que da lugar a muchas diferencias.</w:t>
      </w:r>
      <w:r w:rsidR="003B282A">
        <w:t xml:space="preserve"> Ya no versa sobre las diferencias del impuesto a pagar, sino sobre “(…) </w:t>
      </w:r>
      <w:r w:rsidR="003B282A" w:rsidRPr="003B282A">
        <w:rPr>
          <w:i/>
        </w:rPr>
        <w:t>las diferencias que surjan entre la aplicación de los marcos técnicos normativos contables y las disposiciones del Estatuto Tributario</w:t>
      </w:r>
      <w:r w:rsidR="003B282A">
        <w:t xml:space="preserve"> (…)”. Mientras el impuesto diferido se determinará de cara a los activos, las diferencias que habrán de conciliarse se referirán a “(…) </w:t>
      </w:r>
      <w:r w:rsidR="003B282A" w:rsidRPr="003B282A">
        <w:rPr>
          <w:i/>
        </w:rPr>
        <w:t>los activos, pasivos, ingresos, costos, gastos (deducciones) y demás partidas y conceptos que deban ser declarados</w:t>
      </w:r>
      <w:r w:rsidR="003B282A">
        <w:t xml:space="preserve"> (…)”.</w:t>
      </w:r>
      <w:r w:rsidR="0004306E">
        <w:t xml:space="preserve"> </w:t>
      </w:r>
      <w:r w:rsidR="00A646A8">
        <w:t>Deberá adoptarse un control de detalle. “</w:t>
      </w:r>
      <w:r w:rsidR="00A646A8" w:rsidRPr="00A646A8">
        <w:rPr>
          <w:i/>
        </w:rPr>
        <w:t>a.</w:t>
      </w:r>
      <w:r w:rsidR="00A646A8" w:rsidRPr="00A646A8">
        <w:rPr>
          <w:i/>
        </w:rPr>
        <w:tab/>
        <w:t>Su diligenciamiento, el cual deberá realizarse de forma simultánea con el reconocimiento y/o registro contable de las transacciones o hechos económicos, en especial cuando se generen diferencias de reconocimiento y medición entre lo contable y lo fiscal. b. Deberá garantizar la identificación y detalle de las diferencias, a que se refiere el inciso 1 de este artículo; así como el registro o registros contables a los cuales se encuentra asociadas.</w:t>
      </w:r>
      <w:r w:rsidR="00A646A8">
        <w:t xml:space="preserve">”. Por lo </w:t>
      </w:r>
      <w:r w:rsidR="006C7A75">
        <w:t>tanto,</w:t>
      </w:r>
      <w:r w:rsidR="00A646A8">
        <w:t xml:space="preserve"> ya no podrá haber partidas globales </w:t>
      </w:r>
      <w:r w:rsidR="00A646A8">
        <w:t>correspondientes a grupos homogéneos. Cada operación implicará un asiento contable y, en su caso, un asiento tributario.</w:t>
      </w:r>
      <w:r w:rsidR="00573773">
        <w:t xml:space="preserve"> Adviértase que </w:t>
      </w:r>
      <w:r w:rsidR="00573773" w:rsidRPr="00573773">
        <w:rPr>
          <w:i/>
        </w:rPr>
        <w:t>“(…) los contribuyentes deberán probar las diferencias que resulten entre lo contable y lo fiscal bajo los sistemas que tengan implementados y los medios de prueba idóneos</w:t>
      </w:r>
      <w:r w:rsidR="00573773">
        <w:t xml:space="preserve"> (…)”.</w:t>
      </w:r>
    </w:p>
    <w:p w14:paraId="69908F52" w14:textId="6FDD6A3F" w:rsidR="00E14005" w:rsidRDefault="00E14005" w:rsidP="00DD25E8">
      <w:r>
        <w:t xml:space="preserve">Las entidades con ingresos inferiores a 30.000 UVT, es decir, $955.770.000, para el año 2017, no estarán obligadas a </w:t>
      </w:r>
      <w:r w:rsidR="00E32352">
        <w:t>enviar</w:t>
      </w:r>
      <w:r>
        <w:t xml:space="preserve"> dicha conciliación, si pertenecen al grupo 3 para efecto</w:t>
      </w:r>
      <w:r w:rsidR="0016119C">
        <w:t xml:space="preserve">s de la contabilidad financiera (cuyos ingresos brutos este año deben ser inferiores a </w:t>
      </w:r>
      <w:r w:rsidR="00E32352">
        <w:t>$</w:t>
      </w:r>
      <w:r w:rsidR="0016119C" w:rsidRPr="0016119C">
        <w:t>4</w:t>
      </w:r>
      <w:r w:rsidR="00E32352">
        <w:t>.</w:t>
      </w:r>
      <w:r w:rsidR="0016119C" w:rsidRPr="0016119C">
        <w:t>426</w:t>
      </w:r>
      <w:r w:rsidR="00E32352">
        <w:t>.</w:t>
      </w:r>
      <w:r w:rsidR="0016119C" w:rsidRPr="0016119C">
        <w:t>302</w:t>
      </w:r>
      <w:r w:rsidR="00E32352">
        <w:t>.</w:t>
      </w:r>
      <w:r w:rsidR="0016119C" w:rsidRPr="0016119C">
        <w:t>000</w:t>
      </w:r>
      <w:r w:rsidR="00E32352">
        <w:t>).</w:t>
      </w:r>
      <w:r w:rsidR="006C7A75">
        <w:t xml:space="preserve"> Las entidades no contribuyentes declarantes no tendrán que preparar ni enviar la conciliación en comento.</w:t>
      </w:r>
    </w:p>
    <w:p w14:paraId="1C41E65B" w14:textId="2F3AB8E3" w:rsidR="002F4E8E" w:rsidRDefault="002F4E8E" w:rsidP="00DD25E8">
      <w:r>
        <w:t xml:space="preserve">El control de detalle se llevará en pesos y el contribuyente “(…) </w:t>
      </w:r>
      <w:r w:rsidRPr="00AD3C4E">
        <w:rPr>
          <w:i/>
        </w:rPr>
        <w:t>deberá tener a disposición de la administración tributaria, el detalle de la conversión de la moneda funcional al peso colombiano</w:t>
      </w:r>
      <w:r w:rsidR="00AD3C4E">
        <w:t xml:space="preserve"> (…)”.</w:t>
      </w:r>
    </w:p>
    <w:p w14:paraId="7AD3A78A" w14:textId="483BF239" w:rsidR="00814094" w:rsidRDefault="004A2E81" w:rsidP="00DD25E8">
      <w:r>
        <w:t xml:space="preserve">Aunque se invoca el artículo 4° de la </w:t>
      </w:r>
      <w:hyperlink r:id="rId10" w:history="1">
        <w:r w:rsidRPr="004A2E81">
          <w:rPr>
            <w:rStyle w:val="Hipervnculo"/>
          </w:rPr>
          <w:t>Ley 1314 de 2009</w:t>
        </w:r>
      </w:hyperlink>
      <w:r>
        <w:t>, es evidente que si bien las normas contables parecen ser libres de intromisiones tributarias, son el punto de partida para determinar las cargas fiscales.</w:t>
      </w:r>
    </w:p>
    <w:p w14:paraId="3EC84C13" w14:textId="4E65D07B" w:rsidR="004A2E81" w:rsidRDefault="00084A31" w:rsidP="00DD25E8">
      <w:r>
        <w:t xml:space="preserve">Nuestros empresarios tienen </w:t>
      </w:r>
      <w:r w:rsidR="001E2668">
        <w:t>sobrados motivos</w:t>
      </w:r>
      <w:r>
        <w:t xml:space="preserve"> para seguir pensando en el efecto tributario de su contabilidad financiera. </w:t>
      </w:r>
      <w:r w:rsidR="001E2668">
        <w:t xml:space="preserve">Todo este proceder trae consigo costos de proceso, que deben entenderse como un mayor valor de los respectivos impuestos. </w:t>
      </w:r>
    </w:p>
    <w:p w14:paraId="66422B30" w14:textId="6FD7759C" w:rsidR="00E32352" w:rsidRPr="00DD25E8" w:rsidRDefault="001E2668" w:rsidP="001E2668">
      <w:pPr>
        <w:jc w:val="right"/>
      </w:pPr>
      <w:r w:rsidRPr="001E2668">
        <w:rPr>
          <w:i/>
        </w:rPr>
        <w:t>Hernando Bermúdez Gómez</w:t>
      </w:r>
    </w:p>
    <w:sectPr w:rsidR="00E32352" w:rsidRPr="00DD25E8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47BFA" w14:textId="77777777" w:rsidR="00F43616" w:rsidRDefault="00F43616" w:rsidP="00EE7812">
      <w:pPr>
        <w:spacing w:after="0" w:line="240" w:lineRule="auto"/>
      </w:pPr>
      <w:r>
        <w:separator/>
      </w:r>
    </w:p>
  </w:endnote>
  <w:endnote w:type="continuationSeparator" w:id="0">
    <w:p w14:paraId="2A0E5A2C" w14:textId="77777777" w:rsidR="00F43616" w:rsidRDefault="00F436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A104" w14:textId="77777777" w:rsidR="00BB67E1" w:rsidRDefault="00BB67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ABD9" w14:textId="77777777" w:rsidR="00BB67E1" w:rsidRDefault="00BB6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5F58" w14:textId="77777777" w:rsidR="00F43616" w:rsidRDefault="00F43616" w:rsidP="00EE7812">
      <w:pPr>
        <w:spacing w:after="0" w:line="240" w:lineRule="auto"/>
      </w:pPr>
      <w:r>
        <w:separator/>
      </w:r>
    </w:p>
  </w:footnote>
  <w:footnote w:type="continuationSeparator" w:id="0">
    <w:p w14:paraId="01AA2C18" w14:textId="77777777" w:rsidR="00F43616" w:rsidRDefault="00F436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1D77" w14:textId="77777777" w:rsidR="00BB67E1" w:rsidRDefault="00BB67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650F147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DD25E8">
      <w:t>974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BB67E1">
      <w:t>14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F4361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77D3" w14:textId="77777777" w:rsidR="00BB67E1" w:rsidRDefault="00BB67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7D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AAB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39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1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616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ley-181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hacienda.gov.co/HomeMinhacienda/ShowProperty?nodeId=%2FOCS%2FP_MHCP_WCC-088861%2F%2FidcPrimaryFile&amp;revision=latestrelease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41D7-9F29-48C1-AE37-E297F082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2017-08-13T00:43:00Z</dcterms:created>
  <dcterms:modified xsi:type="dcterms:W3CDTF">2017-08-13T00:43:00Z</dcterms:modified>
</cp:coreProperties>
</file>