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16F55" w14:textId="242396AF" w:rsidR="0005133C" w:rsidRPr="0005133C" w:rsidRDefault="0005133C" w:rsidP="0005133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5133C">
        <w:rPr>
          <w:position w:val="-9"/>
          <w:sz w:val="123"/>
        </w:rPr>
        <w:t>E</w:t>
      </w:r>
    </w:p>
    <w:p w14:paraId="56070DB3" w14:textId="3F5DE40E" w:rsidR="00F677CD" w:rsidRDefault="0005133C" w:rsidP="0005133C">
      <w:r>
        <w:t xml:space="preserve">n el </w:t>
      </w:r>
      <w:hyperlink r:id="rId8" w:history="1">
        <w:r w:rsidRPr="0005133C">
          <w:rPr>
            <w:rStyle w:val="Hipervnculo"/>
          </w:rPr>
          <w:t>Decreto reglamentario 1033 de 10 de agosto de 2017</w:t>
        </w:r>
      </w:hyperlink>
      <w:r>
        <w:t>, sobre la ponderación por el nivel de riesgo crediticio de las operaciones de redescuento de las entidades autorizadas para realizar tales operaciones, se establece: “</w:t>
      </w:r>
      <w:r w:rsidRPr="0005133C">
        <w:rPr>
          <w:i/>
        </w:rPr>
        <w:t>las operaciones de redescuento realizadas por las entidades autorizadas por ley para este fin, que sean celebradas con entidades vigiladas por la Superintendencia Financiera de Colombia y cuyo endoso de pagarés implique la responsabilidad del intermediario, computarán por el cincuenta por ciento (50%) de su valor. Cuando la operación de redescuento se celebre con entidades no vigiladas por la Superintendencia Financiera de Colombia se computará por el cien por ciento (100%) de su valor.</w:t>
      </w:r>
      <w:r>
        <w:t>”</w:t>
      </w:r>
    </w:p>
    <w:p w14:paraId="1002BE50" w14:textId="1A328FEA" w:rsidR="0005133C" w:rsidRDefault="0005133C" w:rsidP="0005133C">
      <w:r>
        <w:t>Resulta más fácil ejercer la supervisión cuando se expiden órdenes precisas, como la que se acaba de reproducir.</w:t>
      </w:r>
    </w:p>
    <w:p w14:paraId="20C7BA42" w14:textId="35CFB3F2" w:rsidR="0005133C" w:rsidRDefault="0005133C" w:rsidP="0005133C">
      <w:r>
        <w:t xml:space="preserve">Pero, sería mucho mejor tener un sistema basado en principios y criterios, más que en conductas predeterminadas, </w:t>
      </w:r>
      <w:r w:rsidR="006A46A1">
        <w:t>pues en este</w:t>
      </w:r>
      <w:r>
        <w:t xml:space="preserve"> el Estado se convierte en un verdadero administrador de las actividades intervenidas, asunto sobre el cual nuestra jurisprudencia no ha profundizado.</w:t>
      </w:r>
    </w:p>
    <w:p w14:paraId="3A879305" w14:textId="3CFD00D6" w:rsidR="0005133C" w:rsidRDefault="0005133C" w:rsidP="0005133C">
      <w:r>
        <w:t>Ser capaces de operar bajo sistemas que implican análisis y juicios, es fundamental para el debido sometimiento a las nuevas normas de contabilidad, información financiera y aseguramiento de información, que en muchos casos remiten al estudio de las c</w:t>
      </w:r>
      <w:r w:rsidR="00BE100E">
        <w:t>ircunstancias específicas, a la</w:t>
      </w:r>
      <w:r>
        <w:t xml:space="preserve"> crítica (ponderación) y a la toma de decisiones que </w:t>
      </w:r>
      <w:r>
        <w:t xml:space="preserve">se ubican en el plano de lo racional y no </w:t>
      </w:r>
      <w:r w:rsidR="00290E1E">
        <w:t xml:space="preserve">en </w:t>
      </w:r>
      <w:r>
        <w:t>el de la exactitud.</w:t>
      </w:r>
    </w:p>
    <w:p w14:paraId="082BBDD3" w14:textId="77913092" w:rsidR="00BE100E" w:rsidRDefault="000A5957" w:rsidP="0005133C">
      <w:r>
        <w:t xml:space="preserve">Muchas veces se piensa que el compromiso de un intermediario será suficiente para asegurar la satisfacción oportuna y completa de una obligación. La crisis de los famosos </w:t>
      </w:r>
      <w:proofErr w:type="spellStart"/>
      <w:r w:rsidRPr="00290E1E">
        <w:rPr>
          <w:i/>
        </w:rPr>
        <w:t>subprime</w:t>
      </w:r>
      <w:proofErr w:type="spellEnd"/>
      <w:r>
        <w:t xml:space="preserve"> y de los créditos hipotecarios demuestra que no siempre el establecimiento financiero intermediario va a contar con los recursos suficientes para responder por todas las obligaciones que haya re</w:t>
      </w:r>
      <w:r w:rsidR="00276C3E">
        <w:t>-</w:t>
      </w:r>
      <w:r>
        <w:t>descontado.</w:t>
      </w:r>
    </w:p>
    <w:p w14:paraId="180137C5" w14:textId="7B22B743" w:rsidR="00276C3E" w:rsidRDefault="009241BB" w:rsidP="0005133C">
      <w:r>
        <w:t>Una de las consecuencias de la supervisión basada en reglas inflexibles, es el facilitar el seguimiento matemático, automatizado, de la información remitida por los vigilados, que hace pensar a muchos en que solo excepcionalmente hay que hacer inspecciones, observaciones, interrogatorios y otro tipo de procedimientos propios del trabajo en el campo, por oposición a la labor desde la oficina. Cuando los datos responden a medidas predeterminadas, es bien probable que no se esté monitoreando la realidad.</w:t>
      </w:r>
    </w:p>
    <w:p w14:paraId="7DDD76DA" w14:textId="7FE52B41" w:rsidR="003B559F" w:rsidRDefault="003B559F" w:rsidP="0005133C">
      <w:r>
        <w:t xml:space="preserve">Lo importante de la información contable es que trata de reflejar la realidad económica, más que el cumplimiento de reglas prudenciales. Cuando estas opacan a aquella, la información contable pierde sentido, aunque esté auditada, pues este servicio de aseguramiento se centrará en la verificación del cumplimiento, conducta en la cual se refugiará el respectivo emisor. </w:t>
      </w:r>
      <w:r w:rsidR="001500E8">
        <w:t>Los marcos que buscan la realidad son más exigentes, pero más confiables.</w:t>
      </w:r>
    </w:p>
    <w:p w14:paraId="5C015BDD" w14:textId="5B48EF78" w:rsidR="001500E8" w:rsidRPr="001500E8" w:rsidRDefault="001500E8" w:rsidP="001500E8">
      <w:pPr>
        <w:jc w:val="right"/>
        <w:rPr>
          <w:i/>
        </w:rPr>
      </w:pPr>
      <w:r w:rsidRPr="001500E8">
        <w:rPr>
          <w:i/>
        </w:rPr>
        <w:t>Hernando Bermúdez Gómez</w:t>
      </w:r>
    </w:p>
    <w:sectPr w:rsidR="001500E8" w:rsidRPr="001500E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26678" w14:textId="77777777" w:rsidR="00D66F18" w:rsidRDefault="00D66F18" w:rsidP="00EE7812">
      <w:pPr>
        <w:spacing w:after="0" w:line="240" w:lineRule="auto"/>
      </w:pPr>
      <w:r>
        <w:separator/>
      </w:r>
    </w:p>
  </w:endnote>
  <w:endnote w:type="continuationSeparator" w:id="0">
    <w:p w14:paraId="4E9B94E6" w14:textId="77777777" w:rsidR="00D66F18" w:rsidRDefault="00D66F1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07B2A" w14:textId="77777777" w:rsidR="00D66F18" w:rsidRDefault="00D66F18" w:rsidP="00EE7812">
      <w:pPr>
        <w:spacing w:after="0" w:line="240" w:lineRule="auto"/>
      </w:pPr>
      <w:r>
        <w:separator/>
      </w:r>
    </w:p>
  </w:footnote>
  <w:footnote w:type="continuationSeparator" w:id="0">
    <w:p w14:paraId="6A1B95C9" w14:textId="77777777" w:rsidR="00D66F18" w:rsidRDefault="00D66F1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0F7D8ACE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0375C1">
      <w:t>3024</w:t>
    </w:r>
    <w:r w:rsidR="00D07EAA">
      <w:t>,</w:t>
    </w:r>
    <w:r w:rsidR="00FE1FFA">
      <w:t xml:space="preserve"> </w:t>
    </w:r>
    <w:r w:rsidR="001E1B9B">
      <w:t>septiembre</w:t>
    </w:r>
    <w:r w:rsidR="00FE1FFA">
      <w:t xml:space="preserve"> </w:t>
    </w:r>
    <w:r w:rsidR="001E1B9B">
      <w:t>4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D66F1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3C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ADC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9D0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48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3"/>
    <w:rsid w:val="00AF4DE8"/>
    <w:rsid w:val="00AF4EA7"/>
    <w:rsid w:val="00AF4FDB"/>
    <w:rsid w:val="00AF50F8"/>
    <w:rsid w:val="00AF513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6F18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presidencia.gov.co/normativa/normativa/DECRETO%201333%20DEL%2010%20DE%20AGOSTO%20DE%20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436C-60A0-4C74-B27E-B5A147F44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2017-09-03T21:20:00Z</dcterms:created>
  <dcterms:modified xsi:type="dcterms:W3CDTF">2017-09-03T21:20:00Z</dcterms:modified>
</cp:coreProperties>
</file>