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A8" w:rsidRPr="00E36BA8" w:rsidRDefault="00E36BA8" w:rsidP="00E36BA8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E36BA8">
        <w:rPr>
          <w:rFonts w:cs="Calibri"/>
          <w:position w:val="-9"/>
          <w:sz w:val="123"/>
        </w:rPr>
        <w:t>E</w:t>
      </w:r>
    </w:p>
    <w:p w:rsidR="00E36BA8" w:rsidRPr="00E36BA8" w:rsidRDefault="00E36BA8" w:rsidP="00E36BA8">
      <w:r w:rsidRPr="00E36BA8">
        <w:lastRenderedPageBreak/>
        <w:t>l 15 de marzo de 2011 el IASB publicó el “</w:t>
      </w:r>
      <w:r w:rsidRPr="00E36BA8">
        <w:rPr>
          <w:i/>
        </w:rPr>
        <w:t>Documento de Práctica de las NIIF: Comentarios de la Gerencia</w:t>
      </w:r>
      <w:r w:rsidRPr="00E36BA8">
        <w:t xml:space="preserve">”. </w:t>
      </w:r>
    </w:p>
    <w:p w:rsidR="00E36BA8" w:rsidRPr="00E36BA8" w:rsidRDefault="00E36BA8" w:rsidP="00E36BA8">
      <w:r w:rsidRPr="00E36BA8">
        <w:t>Según el documento, la Gerencia debe publicar comentarios que faciliten a los usuarios la contextualización de la información contenida en los estados financieros, explicando su punto de vista</w:t>
      </w:r>
      <w:r w:rsidR="005C2518">
        <w:t>,</w:t>
      </w:r>
      <w:r w:rsidRPr="00E36BA8">
        <w:t xml:space="preserve"> no solo sobre lo que ha sucedido sino también por qué ha sucedido y cuáles son las implicaciones para el futuro de la entidad.</w:t>
      </w:r>
    </w:p>
    <w:p w:rsidR="00E36BA8" w:rsidRPr="00E36BA8" w:rsidRDefault="00E36BA8" w:rsidP="00E36BA8">
      <w:r w:rsidRPr="00E36BA8">
        <w:t>Según el párrafo 24, los comentarios de la gerencia versan sobre: (a) la naturaleza del negocio; (b) los objetivos de la gerencia y sus estrategias para alcanzarlos; (c) los recursos, riesgos y relaciones más significativos; (d) los resultados de las operaciones y sus perspectivas; y (e) las medidas de rendimiento fundamentales e indicadores que la gerencia utiliza para evaluar el rendimiento respecto a los objetivos</w:t>
      </w:r>
      <w:r w:rsidR="009E04D5">
        <w:t>. E</w:t>
      </w:r>
      <w:r w:rsidRPr="00E36BA8">
        <w:t>l párrafo 33 señala que "</w:t>
      </w:r>
      <w:r w:rsidRPr="00E36BA8">
        <w:rPr>
          <w:i/>
        </w:rPr>
        <w:t>La gerencia debería identificar las relaciones significativas que la entidad tiene con grupos de interés, la forma en que esas relaciones están probablemente afectando al rendimiento y valor de la entidad y la forma en que se gestionan esas relaciones y (…) si éstas exponen al negocio a riesgos sustanciales</w:t>
      </w:r>
      <w:r w:rsidRPr="00E36BA8">
        <w:t>".</w:t>
      </w:r>
    </w:p>
    <w:p w:rsidR="00E36BA8" w:rsidRPr="00E36BA8" w:rsidRDefault="00E36BA8" w:rsidP="00E36BA8">
      <w:r w:rsidRPr="00E36BA8">
        <w:t xml:space="preserve">Ante esto, cabe preguntarse si el derecho mercantil local debería converger con tendencias internacionales </w:t>
      </w:r>
      <w:r w:rsidR="009E04D5">
        <w:t>como é</w:t>
      </w:r>
      <w:r w:rsidRPr="00E36BA8">
        <w:t>sta.</w:t>
      </w:r>
    </w:p>
    <w:p w:rsidR="00E36BA8" w:rsidRPr="00E36BA8" w:rsidRDefault="00E36BA8" w:rsidP="00E36BA8">
      <w:r w:rsidRPr="00E36BA8">
        <w:t xml:space="preserve">En Colombia, la </w:t>
      </w:r>
      <w:hyperlink r:id="rId9" w:history="1">
        <w:r w:rsidRPr="00E36BA8">
          <w:rPr>
            <w:rStyle w:val="Hyperlink"/>
          </w:rPr>
          <w:t>Ley 222 de 1995</w:t>
        </w:r>
      </w:hyperlink>
      <w:r w:rsidRPr="00E36BA8">
        <w:t xml:space="preserve"> establece que</w:t>
      </w:r>
      <w:r w:rsidR="009E04D5">
        <w:t>,</w:t>
      </w:r>
      <w:r w:rsidRPr="00E36BA8">
        <w:t xml:space="preserve"> terminado cada ejercicio contable, los administradores deben presentar, además de los estados financieros y el proyecto de distribución de utilidades, un informe de </w:t>
      </w:r>
      <w:r w:rsidRPr="00E36BA8">
        <w:lastRenderedPageBreak/>
        <w:t>gestión que debe contener una exposición fiel sobre la evolución de los negocios y la situación jurídica, económica y administrativa de la sociedad, así como los acontecimientos importantes acaecidos después del ejercicio, la evolución previsible de la sociedad, las operaciones con socios y administradores y el cumplimiento de normas sobre propiedad intelectual y derechos de autor.</w:t>
      </w:r>
    </w:p>
    <w:p w:rsidR="00E36BA8" w:rsidRPr="00E36BA8" w:rsidRDefault="00E36BA8" w:rsidP="00E36BA8">
      <w:r w:rsidRPr="00E36BA8">
        <w:t>La información solicitada en el ámbito del estándar internacional como “Comentarios de la Gerencia” supera los requerimientos del “Informe de Gestión” local, por su mayor contenido y enfoque, pues presenta un mayor alcance en asuntos como las transacciones con partes relacionadas.</w:t>
      </w:r>
    </w:p>
    <w:p w:rsidR="00E36BA8" w:rsidRPr="00E36BA8" w:rsidRDefault="00E36BA8" w:rsidP="00E36BA8">
      <w:r w:rsidRPr="00E36BA8">
        <w:t>El debido proceso que exige la convergencia contable (</w:t>
      </w:r>
      <w:hyperlink r:id="rId10" w:history="1">
        <w:r w:rsidRPr="00E36BA8">
          <w:rPr>
            <w:rStyle w:val="Hyperlink"/>
          </w:rPr>
          <w:t>Ley 1314 de 2009</w:t>
        </w:r>
      </w:hyperlink>
      <w:r w:rsidRPr="00E36BA8">
        <w:t>) podría considerar un “</w:t>
      </w:r>
      <w:hyperlink r:id="rId11" w:history="1">
        <w:r w:rsidRPr="00E36BA8">
          <w:rPr>
            <w:rStyle w:val="Hyperlink"/>
          </w:rPr>
          <w:t>Libro</w:t>
        </w:r>
        <w:r w:rsidRPr="00E36BA8">
          <w:rPr>
            <w:rStyle w:val="Hyperlink"/>
          </w:rPr>
          <w:t xml:space="preserve"> </w:t>
        </w:r>
        <w:r w:rsidRPr="00E36BA8">
          <w:rPr>
            <w:rStyle w:val="Hyperlink"/>
          </w:rPr>
          <w:t>Blanco</w:t>
        </w:r>
      </w:hyperlink>
      <w:r w:rsidRPr="00E36BA8">
        <w:t>” como mecanismo de participación pública que guíe los necesarios cambios institucionales previos, incluyendo las potenciales reformas en Gobierno Corporativo y en las normas comerciales y tributarias, entre otras.</w:t>
      </w:r>
    </w:p>
    <w:p w:rsidR="00E36BA8" w:rsidRPr="00E36BA8" w:rsidRDefault="00E36BA8" w:rsidP="00E36BA8">
      <w:r w:rsidRPr="00E36BA8">
        <w:t xml:space="preserve">Por ejemplo, </w:t>
      </w:r>
      <w:hyperlink r:id="rId12" w:history="1">
        <w:r w:rsidRPr="00E36BA8">
          <w:rPr>
            <w:rStyle w:val="Hyperlink"/>
          </w:rPr>
          <w:t>en Es</w:t>
        </w:r>
        <w:r w:rsidRPr="00E36BA8">
          <w:rPr>
            <w:rStyle w:val="Hyperlink"/>
          </w:rPr>
          <w:t>p</w:t>
        </w:r>
        <w:r w:rsidRPr="00E36BA8">
          <w:rPr>
            <w:rStyle w:val="Hyperlink"/>
          </w:rPr>
          <w:t>aña</w:t>
        </w:r>
      </w:hyperlink>
      <w:r w:rsidRPr="00E36BA8">
        <w:t xml:space="preserve"> el Libro Blanco consignó las reflexiones que guiaron importantes modificaciones en su derecho positivo, especialmente el mercantil, como base de la reforma contable entonces emprendida. </w:t>
      </w:r>
    </w:p>
    <w:p w:rsidR="00E36BA8" w:rsidRPr="00E36BA8" w:rsidRDefault="00E36BA8" w:rsidP="00E36BA8">
      <w:r w:rsidRPr="00E36BA8">
        <w:t>La convergencia contable local debe considerar un mayor ámbito regulatorio cuyo alcance se puede evaluar en un Libro Blanco como mecanismo de participación pública.</w:t>
      </w:r>
    </w:p>
    <w:p w:rsidR="00E83150" w:rsidRPr="008D33F5" w:rsidRDefault="00E36BA8" w:rsidP="003D5D96">
      <w:pPr>
        <w:jc w:val="right"/>
      </w:pPr>
      <w:bookmarkStart w:id="0" w:name="_GoBack"/>
      <w:r w:rsidRPr="00E36BA8">
        <w:rPr>
          <w:i/>
        </w:rPr>
        <w:t xml:space="preserve">Juan Fernando Mejía </w:t>
      </w:r>
      <w:bookmarkEnd w:id="0"/>
    </w:p>
    <w:sectPr w:rsidR="00E83150" w:rsidRPr="008D33F5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66" w:rsidRDefault="00A63666" w:rsidP="00EE7812">
      <w:pPr>
        <w:spacing w:after="0" w:line="240" w:lineRule="auto"/>
      </w:pPr>
      <w:r>
        <w:separator/>
      </w:r>
    </w:p>
  </w:endnote>
  <w:endnote w:type="continuationSeparator" w:id="0">
    <w:p w:rsidR="00A63666" w:rsidRDefault="00A6366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66" w:rsidRDefault="00A63666" w:rsidP="00EE7812">
      <w:pPr>
        <w:spacing w:after="0" w:line="240" w:lineRule="auto"/>
      </w:pPr>
      <w:r>
        <w:separator/>
      </w:r>
    </w:p>
  </w:footnote>
  <w:footnote w:type="continuationSeparator" w:id="0">
    <w:p w:rsidR="00A63666" w:rsidRDefault="00A6366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2835A3">
      <w:t>1</w:t>
    </w:r>
    <w:r w:rsidR="008D33F5">
      <w:t>9</w:t>
    </w:r>
    <w:r w:rsidR="009D09BB">
      <w:t xml:space="preserve">, </w:t>
    </w:r>
    <w:r w:rsidR="00EB1693">
      <w:t>mayo</w:t>
    </w:r>
    <w:r w:rsidR="00CD08C5">
      <w:t xml:space="preserve"> </w:t>
    </w:r>
    <w:r w:rsidR="00F14C72">
      <w:t>23</w:t>
    </w:r>
    <w:r w:rsidR="0080786C">
      <w:t xml:space="preserve"> de 2011</w:t>
    </w:r>
  </w:p>
  <w:p w:rsidR="0046164F" w:rsidRDefault="00A6366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6339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C39"/>
    <w:rsid w:val="001810E3"/>
    <w:rsid w:val="001810F0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AAE"/>
    <w:rsid w:val="0025628F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E03"/>
    <w:rsid w:val="00A1122D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3047"/>
    <w:rsid w:val="00A63271"/>
    <w:rsid w:val="00A63666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072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D6928"/>
    <w:rsid w:val="00DE0717"/>
    <w:rsid w:val="00DE0CD1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16E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rviciosweb.minhac.es/apps/icac/nic/LIBROBL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es.gva.es/c_economia/web/rveh/pdfs/n7/debate1-7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ecretariasenado.gov.co/senado/basedoc/ley/2009/ley_1314_200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cretariasenado.gov.co/senado/basedoc/ley/1995/ley_0222_199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C78F-47E5-421A-ABE3-488B1430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dcterms:created xsi:type="dcterms:W3CDTF">2011-05-22T20:58:00Z</dcterms:created>
  <dcterms:modified xsi:type="dcterms:W3CDTF">2011-05-22T21:09:00Z</dcterms:modified>
</cp:coreProperties>
</file>