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10" w:rsidRPr="00B80B10" w:rsidRDefault="00B80B10" w:rsidP="00B80B10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80B10">
        <w:rPr>
          <w:rFonts w:cs="Calibri"/>
          <w:position w:val="-9"/>
          <w:sz w:val="123"/>
        </w:rPr>
        <w:t>E</w:t>
      </w:r>
    </w:p>
    <w:p w:rsidR="00196A1B" w:rsidRDefault="00F23F28" w:rsidP="00F23F28">
      <w:r>
        <w:t>xiste una clara interacción entre la administración y la contabilidad. Ella es tan estrecha que dio lugar a la denominada contabilidad administrativa.</w:t>
      </w:r>
      <w:r w:rsidR="002A451B" w:rsidRPr="00F23F28">
        <w:t xml:space="preserve"> </w:t>
      </w:r>
      <w:r w:rsidR="00B80B10">
        <w:t>La contabilidad administrativa es una de las principales prácticas de los contadores en todo el mundo.</w:t>
      </w:r>
    </w:p>
    <w:p w:rsidR="00B80B10" w:rsidRDefault="00B80B10" w:rsidP="00F23F28">
      <w:r>
        <w:t>Entre las diversas cuestiones de la</w:t>
      </w:r>
      <w:r w:rsidR="00E517B8">
        <w:t>s</w:t>
      </w:r>
      <w:r>
        <w:t xml:space="preserve"> que se ocupan la administración y la contabilidad administrativa está la que denominamos organización</w:t>
      </w:r>
      <w:r w:rsidR="00E517B8">
        <w:t xml:space="preserve">. Entre otras cosas, la organización define la arquitectura de la entidad, </w:t>
      </w:r>
      <w:r w:rsidR="00F2195F">
        <w:t xml:space="preserve">permitiéndonos concebir diferentes cargos, con diversas posiciones dentro de la jerarquía orgánica, posiciones que no son más que la determinación de relaciones </w:t>
      </w:r>
      <w:r w:rsidR="00E517B8">
        <w:t xml:space="preserve">en términos de facultades (poderes) y funciones. Gracias a la arquitectura se </w:t>
      </w:r>
      <w:r w:rsidR="00F2195F">
        <w:t>pueden distinguir</w:t>
      </w:r>
      <w:r w:rsidR="00E517B8">
        <w:t xml:space="preserve"> las funciones de dirección, de las de coordinación, de las de ejecución, de las de supervisión.</w:t>
      </w:r>
    </w:p>
    <w:p w:rsidR="00E517B8" w:rsidRDefault="00E517B8" w:rsidP="00F23F28">
      <w:r>
        <w:t xml:space="preserve">El tamaño y complejidad de las entidades influye en forma notaria en su arquitectura. La relación de costo beneficio </w:t>
      </w:r>
      <w:r w:rsidR="009B5AF5">
        <w:t xml:space="preserve">determina la unicidad o pluralidad de cargos para el desempeño de funciones conexas. Las entidades pequeñas se ven en la necesidad de concentrar funciones en ciertos individuos, porque no les es posible </w:t>
      </w:r>
      <w:r w:rsidR="00F47FE0">
        <w:t xml:space="preserve">o conveniente </w:t>
      </w:r>
      <w:r w:rsidR="009B5AF5">
        <w:t>sufragar varios empleados para que ejerzan tales funciones.</w:t>
      </w:r>
    </w:p>
    <w:p w:rsidR="00F217E9" w:rsidRDefault="00AA01B9" w:rsidP="00F23F28">
      <w:r>
        <w:t>Es</w:t>
      </w:r>
      <w:r w:rsidR="00F217E9">
        <w:t xml:space="preserve">a concentración de funciones se encuentra expresamente permitida en ciertos sistemas legales, como el colombiano. Así, por ejemplo, el parágrafo del artículo 17 de la Ley </w:t>
      </w:r>
      <w:r>
        <w:t xml:space="preserve">1258 de 2008, </w:t>
      </w:r>
      <w:r w:rsidRPr="00AA01B9">
        <w:t>Por medio de la cual se crea la sociedad por acciones simplificada</w:t>
      </w:r>
      <w:r>
        <w:t xml:space="preserve">, </w:t>
      </w:r>
      <w:r>
        <w:lastRenderedPageBreak/>
        <w:t>señala: “</w:t>
      </w:r>
      <w:r w:rsidRPr="00AA01B9">
        <w:rPr>
          <w:i/>
        </w:rPr>
        <w:t>Durante el tiempo en que la sociedad cuente con un solo accionista, este podrá ejercer las atribuciones que la ley les confiere a los diversos órganos sociales, en cuanto sean compatibles, incluidas las del representante legal</w:t>
      </w:r>
      <w:r>
        <w:t>”.</w:t>
      </w:r>
    </w:p>
    <w:p w:rsidR="00AA01B9" w:rsidRDefault="00F47FE0" w:rsidP="00F23F28">
      <w:r>
        <w:t>Por su parte</w:t>
      </w:r>
      <w:r w:rsidR="00AA01B9">
        <w:t xml:space="preserve"> la doctrina sobre el control interno ha apoyad</w:t>
      </w:r>
      <w:r>
        <w:t>o una forma de proceder contrari</w:t>
      </w:r>
      <w:r w:rsidR="00AA01B9">
        <w:t xml:space="preserve">a: la segregación de funciones. Esta posición se basa en la observación según la cual existen mayores posibilidades de fraude cuando una </w:t>
      </w:r>
      <w:r w:rsidR="00172E4E">
        <w:t xml:space="preserve">sola </w:t>
      </w:r>
      <w:r w:rsidR="00AA01B9">
        <w:t>persona está en la capacidad de decidir que se lleve a cabo una operación, de ejecutarla y de aprobarla.</w:t>
      </w:r>
      <w:r w:rsidR="00172E4E">
        <w:t xml:space="preserve"> Es por esto que muchas tradiciones sobre el gobierno de las entidades (buen gobierno) se inclinan por la separación de funciones.</w:t>
      </w:r>
    </w:p>
    <w:p w:rsidR="00172E4E" w:rsidRDefault="00172E4E" w:rsidP="00172E4E">
      <w:r>
        <w:t xml:space="preserve">Un reciente estudio de </w:t>
      </w:r>
      <w:proofErr w:type="spellStart"/>
      <w:r>
        <w:t>Deloitte</w:t>
      </w:r>
      <w:proofErr w:type="spellEnd"/>
      <w:r>
        <w:t xml:space="preserve">, titulado </w:t>
      </w:r>
      <w:hyperlink r:id="rId9" w:history="1">
        <w:proofErr w:type="spellStart"/>
        <w:r w:rsidRPr="00032C18">
          <w:rPr>
            <w:rStyle w:val="Hipervnculo"/>
            <w:i/>
          </w:rPr>
          <w:t>Board</w:t>
        </w:r>
        <w:proofErr w:type="spellEnd"/>
        <w:r w:rsidRPr="00032C18">
          <w:rPr>
            <w:rStyle w:val="Hipervnculo"/>
            <w:i/>
          </w:rPr>
          <w:t xml:space="preserve"> </w:t>
        </w:r>
        <w:proofErr w:type="spellStart"/>
        <w:r w:rsidRPr="00032C18">
          <w:rPr>
            <w:rStyle w:val="Hipervnculo"/>
            <w:i/>
          </w:rPr>
          <w:t>Leadership</w:t>
        </w:r>
        <w:proofErr w:type="spellEnd"/>
        <w:r w:rsidRPr="00032C18">
          <w:rPr>
            <w:rStyle w:val="Hipervnculo"/>
            <w:i/>
          </w:rPr>
          <w:t xml:space="preserve"> A Global </w:t>
        </w:r>
        <w:proofErr w:type="spellStart"/>
        <w:r w:rsidRPr="00032C18">
          <w:rPr>
            <w:rStyle w:val="Hipervnculo"/>
            <w:i/>
          </w:rPr>
          <w:t>Perspective</w:t>
        </w:r>
        <w:proofErr w:type="spellEnd"/>
      </w:hyperlink>
      <w:r w:rsidR="00032C18">
        <w:rPr>
          <w:i/>
        </w:rPr>
        <w:t xml:space="preserve">, </w:t>
      </w:r>
      <w:r w:rsidR="00032C18">
        <w:t xml:space="preserve">examina las tendencias entre separar o mantener unidas las funciones de presidente de la junta directiva y de principal funcionario ejecutivo. Según el respectivo comunicado de prensa </w:t>
      </w:r>
      <w:hyperlink r:id="rId10" w:history="1">
        <w:proofErr w:type="spellStart"/>
        <w:r w:rsidR="00032C18" w:rsidRPr="00032C18">
          <w:rPr>
            <w:rStyle w:val="Hipervnculo"/>
          </w:rPr>
          <w:t>Deloitte</w:t>
        </w:r>
        <w:proofErr w:type="spellEnd"/>
        <w:r w:rsidR="00032C18" w:rsidRPr="00032C18">
          <w:rPr>
            <w:rStyle w:val="Hipervnculo"/>
          </w:rPr>
          <w:t xml:space="preserve"> </w:t>
        </w:r>
        <w:proofErr w:type="spellStart"/>
        <w:r w:rsidR="00032C18" w:rsidRPr="00032C18">
          <w:rPr>
            <w:rStyle w:val="Hipervnculo"/>
          </w:rPr>
          <w:t>study</w:t>
        </w:r>
        <w:proofErr w:type="spellEnd"/>
        <w:r w:rsidR="00032C18" w:rsidRPr="00032C18">
          <w:rPr>
            <w:rStyle w:val="Hipervnculo"/>
          </w:rPr>
          <w:t xml:space="preserve"> </w:t>
        </w:r>
        <w:proofErr w:type="spellStart"/>
        <w:r w:rsidR="00032C18" w:rsidRPr="00032C18">
          <w:rPr>
            <w:rStyle w:val="Hipervnculo"/>
          </w:rPr>
          <w:t>finds</w:t>
        </w:r>
        <w:proofErr w:type="spellEnd"/>
        <w:r w:rsidR="00032C18" w:rsidRPr="00032C18">
          <w:rPr>
            <w:rStyle w:val="Hipervnculo"/>
          </w:rPr>
          <w:t xml:space="preserve"> </w:t>
        </w:r>
        <w:proofErr w:type="spellStart"/>
        <w:r w:rsidR="00032C18" w:rsidRPr="00032C18">
          <w:rPr>
            <w:rStyle w:val="Hipervnculo"/>
          </w:rPr>
          <w:t>separation</w:t>
        </w:r>
        <w:proofErr w:type="spellEnd"/>
        <w:r w:rsidR="00032C18" w:rsidRPr="00032C18">
          <w:rPr>
            <w:rStyle w:val="Hipervnculo"/>
          </w:rPr>
          <w:t xml:space="preserve"> of CEO/</w:t>
        </w:r>
        <w:proofErr w:type="spellStart"/>
        <w:r w:rsidR="00032C18" w:rsidRPr="00032C18">
          <w:rPr>
            <w:rStyle w:val="Hipervnculo"/>
          </w:rPr>
          <w:t>chairman</w:t>
        </w:r>
        <w:proofErr w:type="spellEnd"/>
        <w:r w:rsidR="00032C18" w:rsidRPr="00032C18">
          <w:rPr>
            <w:rStyle w:val="Hipervnculo"/>
          </w:rPr>
          <w:t xml:space="preserve"> roles </w:t>
        </w:r>
        <w:proofErr w:type="spellStart"/>
        <w:r w:rsidR="00032C18" w:rsidRPr="00032C18">
          <w:rPr>
            <w:rStyle w:val="Hipervnculo"/>
          </w:rPr>
          <w:t>on</w:t>
        </w:r>
        <w:proofErr w:type="spellEnd"/>
        <w:r w:rsidR="00032C18" w:rsidRPr="00032C18">
          <w:rPr>
            <w:rStyle w:val="Hipervnculo"/>
          </w:rPr>
          <w:t xml:space="preserve"> </w:t>
        </w:r>
        <w:proofErr w:type="spellStart"/>
        <w:r w:rsidR="00032C18" w:rsidRPr="00032C18">
          <w:rPr>
            <w:rStyle w:val="Hipervnculo"/>
          </w:rPr>
          <w:t>boards</w:t>
        </w:r>
        <w:proofErr w:type="spellEnd"/>
        <w:r w:rsidR="00032C18" w:rsidRPr="00032C18">
          <w:rPr>
            <w:rStyle w:val="Hipervnculo"/>
          </w:rPr>
          <w:t xml:space="preserve"> </w:t>
        </w:r>
        <w:proofErr w:type="spellStart"/>
        <w:r w:rsidR="00032C18" w:rsidRPr="00032C18">
          <w:rPr>
            <w:rStyle w:val="Hipervnculo"/>
          </w:rPr>
          <w:t>advancing</w:t>
        </w:r>
        <w:proofErr w:type="spellEnd"/>
        <w:r w:rsidR="00032C18" w:rsidRPr="00032C18">
          <w:rPr>
            <w:rStyle w:val="Hipervnculo"/>
          </w:rPr>
          <w:t xml:space="preserve"> in </w:t>
        </w:r>
        <w:proofErr w:type="spellStart"/>
        <w:r w:rsidR="00032C18" w:rsidRPr="00032C18">
          <w:rPr>
            <w:rStyle w:val="Hipervnculo"/>
          </w:rPr>
          <w:t>the</w:t>
        </w:r>
        <w:proofErr w:type="spellEnd"/>
        <w:r w:rsidR="00032C18" w:rsidRPr="00032C18">
          <w:rPr>
            <w:rStyle w:val="Hipervnculo"/>
          </w:rPr>
          <w:t xml:space="preserve"> </w:t>
        </w:r>
        <w:proofErr w:type="spellStart"/>
        <w:r w:rsidR="00032C18" w:rsidRPr="00032C18">
          <w:rPr>
            <w:rStyle w:val="Hipervnculo"/>
          </w:rPr>
          <w:t>U.S</w:t>
        </w:r>
        <w:proofErr w:type="spellEnd"/>
        <w:r w:rsidR="00032C18" w:rsidRPr="00032C18">
          <w:rPr>
            <w:rStyle w:val="Hipervnculo"/>
          </w:rPr>
          <w:t xml:space="preserve">. </w:t>
        </w:r>
        <w:proofErr w:type="spellStart"/>
        <w:r w:rsidR="00032C18" w:rsidRPr="00032C18">
          <w:rPr>
            <w:rStyle w:val="Hipervnculo"/>
          </w:rPr>
          <w:t>while</w:t>
        </w:r>
        <w:proofErr w:type="spellEnd"/>
        <w:r w:rsidR="00032C18" w:rsidRPr="00032C18">
          <w:rPr>
            <w:rStyle w:val="Hipervnculo"/>
          </w:rPr>
          <w:t xml:space="preserve"> </w:t>
        </w:r>
        <w:proofErr w:type="spellStart"/>
        <w:r w:rsidR="00032C18" w:rsidRPr="00032C18">
          <w:rPr>
            <w:rStyle w:val="Hipervnculo"/>
          </w:rPr>
          <w:t>retreating</w:t>
        </w:r>
        <w:proofErr w:type="spellEnd"/>
        <w:r w:rsidR="00032C18" w:rsidRPr="00032C18">
          <w:rPr>
            <w:rStyle w:val="Hipervnculo"/>
          </w:rPr>
          <w:t xml:space="preserve"> in </w:t>
        </w:r>
        <w:proofErr w:type="spellStart"/>
        <w:r w:rsidR="00032C18" w:rsidRPr="00032C18">
          <w:rPr>
            <w:rStyle w:val="Hipervnculo"/>
          </w:rPr>
          <w:t>some</w:t>
        </w:r>
        <w:proofErr w:type="spellEnd"/>
        <w:r w:rsidR="00032C18" w:rsidRPr="00032C18">
          <w:rPr>
            <w:rStyle w:val="Hipervnculo"/>
          </w:rPr>
          <w:t xml:space="preserve"> </w:t>
        </w:r>
        <w:proofErr w:type="spellStart"/>
        <w:r w:rsidR="00032C18" w:rsidRPr="00032C18">
          <w:rPr>
            <w:rStyle w:val="Hipervnculo"/>
          </w:rPr>
          <w:t>developed</w:t>
        </w:r>
        <w:proofErr w:type="spellEnd"/>
        <w:r w:rsidR="00032C18" w:rsidRPr="00032C18">
          <w:rPr>
            <w:rStyle w:val="Hipervnculo"/>
          </w:rPr>
          <w:t xml:space="preserve"> </w:t>
        </w:r>
        <w:proofErr w:type="spellStart"/>
        <w:r w:rsidR="00032C18" w:rsidRPr="00032C18">
          <w:rPr>
            <w:rStyle w:val="Hipervnculo"/>
          </w:rPr>
          <w:t>markets</w:t>
        </w:r>
        <w:proofErr w:type="spellEnd"/>
      </w:hyperlink>
      <w:r w:rsidR="00032C18">
        <w:t>.</w:t>
      </w:r>
    </w:p>
    <w:p w:rsidR="00032C18" w:rsidRDefault="00E22C6C" w:rsidP="00172E4E">
      <w:r>
        <w:t>El estudio concreto de las particularidades de cada organización es una parte imprescindible de las exigencias de la contabilidad y el aseguramiento, disciplinas que están lejos de tener moldes únicos para aplicárselos a todas las entidades en operación. Por eso hay que formar para brindar soluciones a la medida.</w:t>
      </w:r>
    </w:p>
    <w:p w:rsidR="00E22C6C" w:rsidRPr="00A23211" w:rsidRDefault="00E22C6C" w:rsidP="00A23211">
      <w:pPr>
        <w:jc w:val="right"/>
        <w:rPr>
          <w:i/>
        </w:rPr>
      </w:pPr>
      <w:bookmarkStart w:id="0" w:name="_GoBack"/>
      <w:r w:rsidRPr="00A23211">
        <w:rPr>
          <w:i/>
        </w:rPr>
        <w:t>Hernando Bermúdez Gómez</w:t>
      </w:r>
      <w:bookmarkEnd w:id="0"/>
    </w:p>
    <w:sectPr w:rsidR="00E22C6C" w:rsidRPr="00A23211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3A" w:rsidRDefault="00B54D3A" w:rsidP="00EE7812">
      <w:pPr>
        <w:spacing w:after="0" w:line="240" w:lineRule="auto"/>
      </w:pPr>
      <w:r>
        <w:separator/>
      </w:r>
    </w:p>
  </w:endnote>
  <w:endnote w:type="continuationSeparator" w:id="0">
    <w:p w:rsidR="00B54D3A" w:rsidRDefault="00B54D3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3A" w:rsidRDefault="00B54D3A" w:rsidP="00EE7812">
      <w:pPr>
        <w:spacing w:after="0" w:line="240" w:lineRule="auto"/>
      </w:pPr>
      <w:r>
        <w:separator/>
      </w:r>
    </w:p>
  </w:footnote>
  <w:footnote w:type="continuationSeparator" w:id="0">
    <w:p w:rsidR="00B54D3A" w:rsidRDefault="00B54D3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04154C">
      <w:t>4</w:t>
    </w:r>
    <w:r w:rsidR="00F23F28">
      <w:t>1</w:t>
    </w:r>
    <w:r w:rsidR="009D09BB">
      <w:t xml:space="preserve">, </w:t>
    </w:r>
    <w:r w:rsidR="00EA5C26">
      <w:t>junio</w:t>
    </w:r>
    <w:r w:rsidR="00CD08C5">
      <w:t xml:space="preserve"> </w:t>
    </w:r>
    <w:r w:rsidR="0019638E">
      <w:t>13</w:t>
    </w:r>
    <w:r w:rsidR="0080786C">
      <w:t xml:space="preserve"> de 2011</w:t>
    </w:r>
  </w:p>
  <w:p w:rsidR="0046164F" w:rsidRDefault="00B54D3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7EC"/>
    <w:rsid w:val="00661A36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4D3A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2C6C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eloitte.com/view/en_GX/global/press/global-press-releases-en/166ecba406720310VgnVCM3000001c56f00aRCRD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rpgov.deloitte.com/binary/com.epicentric.contentmanagement.servlet.ContentDeliveryServlet/USEng/Documents/Board%20Governance/Roles%20and%20Responsibilities/Board%20Leadership%20A%20Global%20Perspective_Deloitte_0516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9367-550D-41CE-9321-F4089643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5</cp:revision>
  <dcterms:created xsi:type="dcterms:W3CDTF">2011-06-13T16:01:00Z</dcterms:created>
  <dcterms:modified xsi:type="dcterms:W3CDTF">2011-06-13T16:45:00Z</dcterms:modified>
</cp:coreProperties>
</file>