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48CE7" w14:textId="1450EE5B" w:rsidR="004A5D72" w:rsidRPr="004A5D72" w:rsidRDefault="004A5D72" w:rsidP="004A5D72">
      <w:pPr>
        <w:keepNext/>
        <w:framePr w:dropCap="drop" w:lines="3" w:wrap="around" w:vAnchor="text" w:hAnchor="text"/>
        <w:spacing w:after="0" w:line="926" w:lineRule="exact"/>
        <w:textAlignment w:val="baseline"/>
        <w:rPr>
          <w:position w:val="-8"/>
          <w:sz w:val="120"/>
        </w:rPr>
      </w:pPr>
      <w:bookmarkStart w:id="0" w:name="_GoBack"/>
      <w:bookmarkEnd w:id="0"/>
      <w:r w:rsidRPr="004A5D72">
        <w:rPr>
          <w:position w:val="-8"/>
          <w:sz w:val="120"/>
        </w:rPr>
        <w:t>C</w:t>
      </w:r>
    </w:p>
    <w:p w14:paraId="71113C9A" w14:textId="4C88DDB4" w:rsidR="004A5D72" w:rsidRDefault="004A5D72" w:rsidP="004A5D72">
      <w:r>
        <w:t>omo bien se sabe, la forma de organización de la profesión contable en el mundo no es única. Hay países donde la profesión está conformada por especialidades, cada una con sus propias reglas de membresía y de desempeño. Los hay en los que la preparación de información corresponde a unos profesionales distintos de los que hacen aseguramiento. En fin… Cualquier forma de organización puede ser excelente, dependiendo del comportamiento de los profesionales. En el caso colombiano, luego del intento de caracterizar profesionales con distintas competencias, llegamos a una clase única denominada contadores públicos titulados.</w:t>
      </w:r>
    </w:p>
    <w:p w14:paraId="39AE2872" w14:textId="0A53179D" w:rsidR="004A5D72" w:rsidRDefault="004A5D72" w:rsidP="004A5D72">
      <w:r>
        <w:t>Esa igualdad formal no equivale a la realidad colombiana. La diversidad de los profesionales es inmensa, especialmente desde el punto de vista cultural. Lamentablemente algunos se han encargado de subrayarla hasta convertirla en fuente de rencillas.</w:t>
      </w:r>
    </w:p>
    <w:p w14:paraId="30BD930A" w14:textId="564A2836" w:rsidR="004A5D72" w:rsidRDefault="009D4EEF" w:rsidP="004A5D72">
      <w:r>
        <w:t>En cua</w:t>
      </w:r>
      <w:r w:rsidR="004A5D72">
        <w:t>nto toca con las estructuras de la profesión, su diversidad es una gran dificultad, por la tendencia de cada grupo de perseguir sus propias conveniencias, ignorando las de los demás.</w:t>
      </w:r>
      <w:r w:rsidR="00712397">
        <w:t xml:space="preserve"> No hemos sido capaces de concebir modelos que alberguen a todos.</w:t>
      </w:r>
      <w:r>
        <w:t xml:space="preserve"> Algunos incluso repudian a otros y, aunque no lo digan, preferirían que se les excluyera de la profesión.</w:t>
      </w:r>
    </w:p>
    <w:p w14:paraId="75F57D93" w14:textId="6BDB095A" w:rsidR="009D4EEF" w:rsidRDefault="009D4EEF" w:rsidP="004A5D72">
      <w:r>
        <w:t xml:space="preserve">Nosotros tenemos muy claras las diferencias, como las hay entre muchos hermanos. Pero hemos preferido crear lazos con todos, haciendo con cada uno lo que corresponde, respetando su dignidad profesional y </w:t>
      </w:r>
      <w:r>
        <w:t>colaborando con todos en su desarrollo.</w:t>
      </w:r>
      <w:r w:rsidR="0083236C">
        <w:t xml:space="preserve"> Fluye así un espíritu de camaradería, de fraternidad, que nos ha permitido compartir y hacer cosas juntos.</w:t>
      </w:r>
    </w:p>
    <w:p w14:paraId="4D02A8F2" w14:textId="0A777271" w:rsidR="0083236C" w:rsidRDefault="00014A33" w:rsidP="004A5D72">
      <w:r>
        <w:t xml:space="preserve">Ahora bien: según </w:t>
      </w:r>
      <w:hyperlink r:id="rId8" w:history="1">
        <w:r w:rsidRPr="00014A33">
          <w:rPr>
            <w:rStyle w:val="Hipervnculo"/>
          </w:rPr>
          <w:t>Confecámaras</w:t>
        </w:r>
      </w:hyperlink>
      <w:r>
        <w:t>, la mayoría de las unidades empresariales corresponden a personas naturales. Estudios preparados el año pasado mostraron la siguiente participación:</w:t>
      </w:r>
    </w:p>
    <w:tbl>
      <w:tblPr>
        <w:tblW w:w="0" w:type="auto"/>
        <w:tblInd w:w="-38" w:type="dxa"/>
        <w:tblLayout w:type="fixed"/>
        <w:tblCellMar>
          <w:left w:w="30" w:type="dxa"/>
          <w:right w:w="30" w:type="dxa"/>
        </w:tblCellMar>
        <w:tblLook w:val="0000" w:firstRow="0" w:lastRow="0" w:firstColumn="0" w:lastColumn="0" w:noHBand="0" w:noVBand="0"/>
      </w:tblPr>
      <w:tblGrid>
        <w:gridCol w:w="1569"/>
        <w:gridCol w:w="1702"/>
        <w:gridCol w:w="739"/>
      </w:tblGrid>
      <w:tr w:rsidR="008A2138" w14:paraId="73C40697" w14:textId="77777777" w:rsidTr="008A2138">
        <w:trPr>
          <w:trHeight w:val="293"/>
        </w:trPr>
        <w:tc>
          <w:tcPr>
            <w:tcW w:w="1569" w:type="dxa"/>
            <w:tcBorders>
              <w:top w:val="single" w:sz="6" w:space="0" w:color="auto"/>
              <w:left w:val="single" w:sz="6" w:space="0" w:color="auto"/>
              <w:bottom w:val="single" w:sz="6" w:space="0" w:color="auto"/>
              <w:right w:val="single" w:sz="6" w:space="0" w:color="auto"/>
            </w:tcBorders>
          </w:tcPr>
          <w:p w14:paraId="129159E7" w14:textId="77777777" w:rsidR="008A2138" w:rsidRDefault="008A2138">
            <w:pPr>
              <w:autoSpaceDE w:val="0"/>
              <w:autoSpaceDN w:val="0"/>
              <w:adjustRightInd w:val="0"/>
              <w:spacing w:after="0" w:line="240" w:lineRule="auto"/>
              <w:rPr>
                <w:rFonts w:ascii="Arial Narrow" w:hAnsi="Arial Narrow" w:cs="Arial Narrow"/>
                <w:color w:val="000000"/>
                <w:sz w:val="24"/>
                <w:szCs w:val="24"/>
                <w:lang w:eastAsia="es-CO"/>
              </w:rPr>
            </w:pPr>
            <w:r>
              <w:rPr>
                <w:rFonts w:ascii="Arial Narrow" w:hAnsi="Arial Narrow" w:cs="Arial Narrow"/>
                <w:color w:val="000000"/>
                <w:sz w:val="24"/>
                <w:szCs w:val="24"/>
                <w:lang w:eastAsia="es-CO"/>
              </w:rPr>
              <w:t xml:space="preserve">Gran empresa </w:t>
            </w:r>
          </w:p>
        </w:tc>
        <w:tc>
          <w:tcPr>
            <w:tcW w:w="1702" w:type="dxa"/>
            <w:tcBorders>
              <w:top w:val="single" w:sz="6" w:space="0" w:color="auto"/>
              <w:left w:val="single" w:sz="6" w:space="0" w:color="auto"/>
              <w:bottom w:val="single" w:sz="6" w:space="0" w:color="auto"/>
              <w:right w:val="single" w:sz="6" w:space="0" w:color="auto"/>
            </w:tcBorders>
          </w:tcPr>
          <w:p w14:paraId="6D32BCB8" w14:textId="77777777" w:rsidR="008A2138" w:rsidRDefault="008A2138">
            <w:pPr>
              <w:autoSpaceDE w:val="0"/>
              <w:autoSpaceDN w:val="0"/>
              <w:adjustRightInd w:val="0"/>
              <w:spacing w:after="0" w:line="240" w:lineRule="auto"/>
              <w:jc w:val="right"/>
              <w:rPr>
                <w:rFonts w:ascii="Arial Narrow" w:hAnsi="Arial Narrow" w:cs="Arial Narrow"/>
                <w:color w:val="000000"/>
                <w:sz w:val="24"/>
                <w:szCs w:val="24"/>
                <w:lang w:eastAsia="es-CO"/>
              </w:rPr>
            </w:pPr>
            <w:r>
              <w:rPr>
                <w:rFonts w:ascii="Arial Narrow" w:hAnsi="Arial Narrow" w:cs="Arial Narrow"/>
                <w:color w:val="000000"/>
                <w:sz w:val="24"/>
                <w:szCs w:val="24"/>
                <w:lang w:eastAsia="es-CO"/>
              </w:rPr>
              <w:t xml:space="preserve">                                     10.615 </w:t>
            </w:r>
          </w:p>
        </w:tc>
        <w:tc>
          <w:tcPr>
            <w:tcW w:w="739" w:type="dxa"/>
            <w:tcBorders>
              <w:top w:val="single" w:sz="6" w:space="0" w:color="auto"/>
              <w:left w:val="single" w:sz="6" w:space="0" w:color="auto"/>
              <w:bottom w:val="single" w:sz="6" w:space="0" w:color="auto"/>
              <w:right w:val="single" w:sz="6" w:space="0" w:color="auto"/>
            </w:tcBorders>
          </w:tcPr>
          <w:p w14:paraId="4E7EDBD3" w14:textId="77777777" w:rsidR="008A2138" w:rsidRDefault="008A2138">
            <w:pPr>
              <w:autoSpaceDE w:val="0"/>
              <w:autoSpaceDN w:val="0"/>
              <w:adjustRightInd w:val="0"/>
              <w:spacing w:after="0" w:line="240" w:lineRule="auto"/>
              <w:jc w:val="right"/>
              <w:rPr>
                <w:rFonts w:ascii="Arial Narrow" w:hAnsi="Arial Narrow" w:cs="Arial Narrow"/>
                <w:color w:val="000000"/>
                <w:sz w:val="24"/>
                <w:szCs w:val="24"/>
                <w:lang w:eastAsia="es-CO"/>
              </w:rPr>
            </w:pPr>
            <w:r>
              <w:rPr>
                <w:rFonts w:ascii="Arial Narrow" w:hAnsi="Arial Narrow" w:cs="Arial Narrow"/>
                <w:color w:val="000000"/>
                <w:sz w:val="24"/>
                <w:szCs w:val="24"/>
                <w:lang w:eastAsia="es-CO"/>
              </w:rPr>
              <w:t>0,4%</w:t>
            </w:r>
          </w:p>
        </w:tc>
      </w:tr>
      <w:tr w:rsidR="008A2138" w14:paraId="0E24D9EC" w14:textId="77777777" w:rsidTr="008A2138">
        <w:trPr>
          <w:trHeight w:val="293"/>
        </w:trPr>
        <w:tc>
          <w:tcPr>
            <w:tcW w:w="1569" w:type="dxa"/>
            <w:tcBorders>
              <w:top w:val="single" w:sz="6" w:space="0" w:color="auto"/>
              <w:left w:val="single" w:sz="6" w:space="0" w:color="auto"/>
              <w:bottom w:val="single" w:sz="6" w:space="0" w:color="auto"/>
              <w:right w:val="single" w:sz="6" w:space="0" w:color="auto"/>
            </w:tcBorders>
          </w:tcPr>
          <w:p w14:paraId="423DBFFF" w14:textId="2FBB9B33" w:rsidR="008A2138" w:rsidRDefault="008A2138" w:rsidP="008A2138">
            <w:pPr>
              <w:autoSpaceDE w:val="0"/>
              <w:autoSpaceDN w:val="0"/>
              <w:adjustRightInd w:val="0"/>
              <w:spacing w:after="0" w:line="240" w:lineRule="auto"/>
              <w:rPr>
                <w:rFonts w:ascii="Arial Narrow" w:hAnsi="Arial Narrow" w:cs="Arial Narrow"/>
                <w:color w:val="000000"/>
                <w:sz w:val="24"/>
                <w:szCs w:val="24"/>
                <w:lang w:eastAsia="es-CO"/>
              </w:rPr>
            </w:pPr>
            <w:r>
              <w:rPr>
                <w:rFonts w:ascii="Arial Narrow" w:hAnsi="Arial Narrow" w:cs="Arial Narrow"/>
                <w:color w:val="000000"/>
                <w:sz w:val="24"/>
                <w:szCs w:val="24"/>
                <w:lang w:eastAsia="es-CO"/>
              </w:rPr>
              <w:t xml:space="preserve"> Mediana Empresa </w:t>
            </w:r>
          </w:p>
        </w:tc>
        <w:tc>
          <w:tcPr>
            <w:tcW w:w="1702" w:type="dxa"/>
            <w:tcBorders>
              <w:top w:val="single" w:sz="6" w:space="0" w:color="auto"/>
              <w:left w:val="single" w:sz="6" w:space="0" w:color="auto"/>
              <w:bottom w:val="single" w:sz="6" w:space="0" w:color="auto"/>
              <w:right w:val="single" w:sz="6" w:space="0" w:color="auto"/>
            </w:tcBorders>
          </w:tcPr>
          <w:p w14:paraId="55FB7E44" w14:textId="77777777" w:rsidR="008A2138" w:rsidRDefault="008A2138">
            <w:pPr>
              <w:autoSpaceDE w:val="0"/>
              <w:autoSpaceDN w:val="0"/>
              <w:adjustRightInd w:val="0"/>
              <w:spacing w:after="0" w:line="240" w:lineRule="auto"/>
              <w:jc w:val="right"/>
              <w:rPr>
                <w:rFonts w:ascii="Arial Narrow" w:hAnsi="Arial Narrow" w:cs="Arial Narrow"/>
                <w:color w:val="000000"/>
                <w:sz w:val="24"/>
                <w:szCs w:val="24"/>
                <w:lang w:eastAsia="es-CO"/>
              </w:rPr>
            </w:pPr>
            <w:r>
              <w:rPr>
                <w:rFonts w:ascii="Arial Narrow" w:hAnsi="Arial Narrow" w:cs="Arial Narrow"/>
                <w:color w:val="000000"/>
                <w:sz w:val="24"/>
                <w:szCs w:val="24"/>
                <w:lang w:eastAsia="es-CO"/>
              </w:rPr>
              <w:t xml:space="preserve">                                   33.856 </w:t>
            </w:r>
          </w:p>
        </w:tc>
        <w:tc>
          <w:tcPr>
            <w:tcW w:w="739" w:type="dxa"/>
            <w:tcBorders>
              <w:top w:val="single" w:sz="6" w:space="0" w:color="auto"/>
              <w:left w:val="single" w:sz="6" w:space="0" w:color="auto"/>
              <w:bottom w:val="single" w:sz="6" w:space="0" w:color="auto"/>
              <w:right w:val="single" w:sz="6" w:space="0" w:color="auto"/>
            </w:tcBorders>
          </w:tcPr>
          <w:p w14:paraId="2C27CE5F" w14:textId="77777777" w:rsidR="008A2138" w:rsidRDefault="008A2138">
            <w:pPr>
              <w:autoSpaceDE w:val="0"/>
              <w:autoSpaceDN w:val="0"/>
              <w:adjustRightInd w:val="0"/>
              <w:spacing w:after="0" w:line="240" w:lineRule="auto"/>
              <w:jc w:val="right"/>
              <w:rPr>
                <w:rFonts w:ascii="Arial Narrow" w:hAnsi="Arial Narrow" w:cs="Arial Narrow"/>
                <w:color w:val="000000"/>
                <w:sz w:val="24"/>
                <w:szCs w:val="24"/>
                <w:lang w:eastAsia="es-CO"/>
              </w:rPr>
            </w:pPr>
            <w:r>
              <w:rPr>
                <w:rFonts w:ascii="Arial Narrow" w:hAnsi="Arial Narrow" w:cs="Arial Narrow"/>
                <w:color w:val="000000"/>
                <w:sz w:val="24"/>
                <w:szCs w:val="24"/>
                <w:lang w:eastAsia="es-CO"/>
              </w:rPr>
              <w:t>1,2%</w:t>
            </w:r>
          </w:p>
        </w:tc>
      </w:tr>
      <w:tr w:rsidR="008A2138" w14:paraId="51428567" w14:textId="77777777" w:rsidTr="008A2138">
        <w:trPr>
          <w:trHeight w:val="293"/>
        </w:trPr>
        <w:tc>
          <w:tcPr>
            <w:tcW w:w="1569" w:type="dxa"/>
            <w:tcBorders>
              <w:top w:val="single" w:sz="6" w:space="0" w:color="auto"/>
              <w:left w:val="single" w:sz="6" w:space="0" w:color="auto"/>
              <w:bottom w:val="single" w:sz="6" w:space="0" w:color="auto"/>
              <w:right w:val="single" w:sz="6" w:space="0" w:color="auto"/>
            </w:tcBorders>
          </w:tcPr>
          <w:p w14:paraId="36C8EA2F" w14:textId="77777777" w:rsidR="008A2138" w:rsidRDefault="008A2138">
            <w:pPr>
              <w:autoSpaceDE w:val="0"/>
              <w:autoSpaceDN w:val="0"/>
              <w:adjustRightInd w:val="0"/>
              <w:spacing w:after="0" w:line="240" w:lineRule="auto"/>
              <w:rPr>
                <w:rFonts w:ascii="Arial Narrow" w:hAnsi="Arial Narrow" w:cs="Arial Narrow"/>
                <w:color w:val="000000"/>
                <w:sz w:val="24"/>
                <w:szCs w:val="24"/>
                <w:lang w:eastAsia="es-CO"/>
              </w:rPr>
            </w:pPr>
            <w:r>
              <w:rPr>
                <w:rFonts w:ascii="Arial Narrow" w:hAnsi="Arial Narrow" w:cs="Arial Narrow"/>
                <w:color w:val="000000"/>
                <w:sz w:val="24"/>
                <w:szCs w:val="24"/>
                <w:lang w:eastAsia="es-CO"/>
              </w:rPr>
              <w:t xml:space="preserve"> Pequeña Empresa </w:t>
            </w:r>
          </w:p>
        </w:tc>
        <w:tc>
          <w:tcPr>
            <w:tcW w:w="1702" w:type="dxa"/>
            <w:tcBorders>
              <w:top w:val="single" w:sz="6" w:space="0" w:color="auto"/>
              <w:left w:val="single" w:sz="6" w:space="0" w:color="auto"/>
              <w:bottom w:val="single" w:sz="6" w:space="0" w:color="auto"/>
              <w:right w:val="single" w:sz="6" w:space="0" w:color="auto"/>
            </w:tcBorders>
          </w:tcPr>
          <w:p w14:paraId="54CCD06F" w14:textId="77777777" w:rsidR="008A2138" w:rsidRDefault="008A2138">
            <w:pPr>
              <w:autoSpaceDE w:val="0"/>
              <w:autoSpaceDN w:val="0"/>
              <w:adjustRightInd w:val="0"/>
              <w:spacing w:after="0" w:line="240" w:lineRule="auto"/>
              <w:jc w:val="right"/>
              <w:rPr>
                <w:rFonts w:ascii="Arial Narrow" w:hAnsi="Arial Narrow" w:cs="Arial Narrow"/>
                <w:color w:val="000000"/>
                <w:sz w:val="24"/>
                <w:szCs w:val="24"/>
                <w:lang w:eastAsia="es-CO"/>
              </w:rPr>
            </w:pPr>
            <w:r>
              <w:rPr>
                <w:rFonts w:ascii="Arial Narrow" w:hAnsi="Arial Narrow" w:cs="Arial Narrow"/>
                <w:color w:val="000000"/>
                <w:sz w:val="24"/>
                <w:szCs w:val="24"/>
                <w:lang w:eastAsia="es-CO"/>
              </w:rPr>
              <w:t xml:space="preserve">                                 130.697 </w:t>
            </w:r>
          </w:p>
        </w:tc>
        <w:tc>
          <w:tcPr>
            <w:tcW w:w="739" w:type="dxa"/>
            <w:tcBorders>
              <w:top w:val="single" w:sz="6" w:space="0" w:color="auto"/>
              <w:left w:val="single" w:sz="6" w:space="0" w:color="auto"/>
              <w:bottom w:val="single" w:sz="6" w:space="0" w:color="auto"/>
              <w:right w:val="single" w:sz="6" w:space="0" w:color="auto"/>
            </w:tcBorders>
          </w:tcPr>
          <w:p w14:paraId="5065177A" w14:textId="77777777" w:rsidR="008A2138" w:rsidRDefault="008A2138">
            <w:pPr>
              <w:autoSpaceDE w:val="0"/>
              <w:autoSpaceDN w:val="0"/>
              <w:adjustRightInd w:val="0"/>
              <w:spacing w:after="0" w:line="240" w:lineRule="auto"/>
              <w:jc w:val="right"/>
              <w:rPr>
                <w:rFonts w:ascii="Arial Narrow" w:hAnsi="Arial Narrow" w:cs="Arial Narrow"/>
                <w:color w:val="000000"/>
                <w:sz w:val="24"/>
                <w:szCs w:val="24"/>
                <w:lang w:eastAsia="es-CO"/>
              </w:rPr>
            </w:pPr>
            <w:r>
              <w:rPr>
                <w:rFonts w:ascii="Arial Narrow" w:hAnsi="Arial Narrow" w:cs="Arial Narrow"/>
                <w:color w:val="000000"/>
                <w:sz w:val="24"/>
                <w:szCs w:val="24"/>
                <w:lang w:eastAsia="es-CO"/>
              </w:rPr>
              <w:t>4,5%</w:t>
            </w:r>
          </w:p>
        </w:tc>
      </w:tr>
      <w:tr w:rsidR="008A2138" w14:paraId="22B494A0" w14:textId="77777777" w:rsidTr="008A2138">
        <w:trPr>
          <w:trHeight w:val="293"/>
        </w:trPr>
        <w:tc>
          <w:tcPr>
            <w:tcW w:w="1569" w:type="dxa"/>
            <w:tcBorders>
              <w:top w:val="single" w:sz="6" w:space="0" w:color="auto"/>
              <w:left w:val="single" w:sz="6" w:space="0" w:color="auto"/>
              <w:bottom w:val="single" w:sz="6" w:space="0" w:color="auto"/>
              <w:right w:val="single" w:sz="6" w:space="0" w:color="auto"/>
            </w:tcBorders>
          </w:tcPr>
          <w:p w14:paraId="00049158" w14:textId="77777777" w:rsidR="008A2138" w:rsidRDefault="008A2138">
            <w:pPr>
              <w:autoSpaceDE w:val="0"/>
              <w:autoSpaceDN w:val="0"/>
              <w:adjustRightInd w:val="0"/>
              <w:spacing w:after="0" w:line="240" w:lineRule="auto"/>
              <w:rPr>
                <w:rFonts w:ascii="Arial Narrow" w:hAnsi="Arial Narrow" w:cs="Arial Narrow"/>
                <w:color w:val="000000"/>
                <w:sz w:val="24"/>
                <w:szCs w:val="24"/>
                <w:lang w:eastAsia="es-CO"/>
              </w:rPr>
            </w:pPr>
            <w:r>
              <w:rPr>
                <w:rFonts w:ascii="Arial Narrow" w:hAnsi="Arial Narrow" w:cs="Arial Narrow"/>
                <w:color w:val="000000"/>
                <w:sz w:val="24"/>
                <w:szCs w:val="24"/>
                <w:lang w:eastAsia="es-CO"/>
              </w:rPr>
              <w:t xml:space="preserve"> Microempresa </w:t>
            </w:r>
          </w:p>
        </w:tc>
        <w:tc>
          <w:tcPr>
            <w:tcW w:w="1702" w:type="dxa"/>
            <w:tcBorders>
              <w:top w:val="single" w:sz="6" w:space="0" w:color="auto"/>
              <w:left w:val="single" w:sz="6" w:space="0" w:color="auto"/>
              <w:bottom w:val="single" w:sz="6" w:space="0" w:color="auto"/>
              <w:right w:val="single" w:sz="6" w:space="0" w:color="auto"/>
            </w:tcBorders>
          </w:tcPr>
          <w:p w14:paraId="4A48970A" w14:textId="77777777" w:rsidR="008A2138" w:rsidRDefault="008A2138">
            <w:pPr>
              <w:autoSpaceDE w:val="0"/>
              <w:autoSpaceDN w:val="0"/>
              <w:adjustRightInd w:val="0"/>
              <w:spacing w:after="0" w:line="240" w:lineRule="auto"/>
              <w:jc w:val="right"/>
              <w:rPr>
                <w:rFonts w:ascii="Arial Narrow" w:hAnsi="Arial Narrow" w:cs="Arial Narrow"/>
                <w:color w:val="000000"/>
                <w:sz w:val="24"/>
                <w:szCs w:val="24"/>
                <w:lang w:eastAsia="es-CO"/>
              </w:rPr>
            </w:pPr>
            <w:r>
              <w:rPr>
                <w:rFonts w:ascii="Arial Narrow" w:hAnsi="Arial Narrow" w:cs="Arial Narrow"/>
                <w:color w:val="000000"/>
                <w:sz w:val="24"/>
                <w:szCs w:val="24"/>
                <w:lang w:eastAsia="es-CO"/>
              </w:rPr>
              <w:t xml:space="preserve">                              2.517.869 </w:t>
            </w:r>
          </w:p>
        </w:tc>
        <w:tc>
          <w:tcPr>
            <w:tcW w:w="739" w:type="dxa"/>
            <w:tcBorders>
              <w:top w:val="single" w:sz="6" w:space="0" w:color="auto"/>
              <w:left w:val="single" w:sz="6" w:space="0" w:color="auto"/>
              <w:bottom w:val="single" w:sz="6" w:space="0" w:color="auto"/>
              <w:right w:val="single" w:sz="6" w:space="0" w:color="auto"/>
            </w:tcBorders>
          </w:tcPr>
          <w:p w14:paraId="5DD72BB5" w14:textId="77777777" w:rsidR="008A2138" w:rsidRDefault="008A2138">
            <w:pPr>
              <w:autoSpaceDE w:val="0"/>
              <w:autoSpaceDN w:val="0"/>
              <w:adjustRightInd w:val="0"/>
              <w:spacing w:after="0" w:line="240" w:lineRule="auto"/>
              <w:jc w:val="right"/>
              <w:rPr>
                <w:rFonts w:ascii="Arial Narrow" w:hAnsi="Arial Narrow" w:cs="Arial Narrow"/>
                <w:color w:val="000000"/>
                <w:sz w:val="24"/>
                <w:szCs w:val="24"/>
                <w:lang w:eastAsia="es-CO"/>
              </w:rPr>
            </w:pPr>
            <w:r>
              <w:rPr>
                <w:rFonts w:ascii="Arial Narrow" w:hAnsi="Arial Narrow" w:cs="Arial Narrow"/>
                <w:color w:val="000000"/>
                <w:sz w:val="24"/>
                <w:szCs w:val="24"/>
                <w:lang w:eastAsia="es-CO"/>
              </w:rPr>
              <w:t>86,8%</w:t>
            </w:r>
          </w:p>
        </w:tc>
      </w:tr>
      <w:tr w:rsidR="008A2138" w14:paraId="5EDD743C" w14:textId="77777777" w:rsidTr="008A2138">
        <w:trPr>
          <w:trHeight w:val="293"/>
        </w:trPr>
        <w:tc>
          <w:tcPr>
            <w:tcW w:w="1569" w:type="dxa"/>
            <w:tcBorders>
              <w:top w:val="single" w:sz="6" w:space="0" w:color="auto"/>
              <w:left w:val="single" w:sz="6" w:space="0" w:color="auto"/>
              <w:bottom w:val="single" w:sz="6" w:space="0" w:color="auto"/>
              <w:right w:val="single" w:sz="6" w:space="0" w:color="auto"/>
            </w:tcBorders>
          </w:tcPr>
          <w:p w14:paraId="04B677C0" w14:textId="77777777" w:rsidR="008A2138" w:rsidRDefault="008A2138">
            <w:pPr>
              <w:autoSpaceDE w:val="0"/>
              <w:autoSpaceDN w:val="0"/>
              <w:adjustRightInd w:val="0"/>
              <w:spacing w:after="0" w:line="240" w:lineRule="auto"/>
              <w:rPr>
                <w:rFonts w:ascii="Arial Narrow" w:hAnsi="Arial Narrow" w:cs="Arial Narrow"/>
                <w:color w:val="000000"/>
                <w:sz w:val="24"/>
                <w:szCs w:val="24"/>
                <w:lang w:eastAsia="es-CO"/>
              </w:rPr>
            </w:pPr>
            <w:r>
              <w:rPr>
                <w:rFonts w:ascii="Arial Narrow" w:hAnsi="Arial Narrow" w:cs="Arial Narrow"/>
                <w:color w:val="000000"/>
                <w:sz w:val="24"/>
                <w:szCs w:val="24"/>
                <w:lang w:eastAsia="es-CO"/>
              </w:rPr>
              <w:t xml:space="preserve"> NO Determinado </w:t>
            </w:r>
          </w:p>
        </w:tc>
        <w:tc>
          <w:tcPr>
            <w:tcW w:w="1702" w:type="dxa"/>
            <w:tcBorders>
              <w:top w:val="single" w:sz="6" w:space="0" w:color="auto"/>
              <w:left w:val="single" w:sz="6" w:space="0" w:color="auto"/>
              <w:bottom w:val="single" w:sz="6" w:space="0" w:color="auto"/>
              <w:right w:val="single" w:sz="6" w:space="0" w:color="auto"/>
            </w:tcBorders>
          </w:tcPr>
          <w:p w14:paraId="671CA803" w14:textId="77777777" w:rsidR="008A2138" w:rsidRDefault="008A2138">
            <w:pPr>
              <w:autoSpaceDE w:val="0"/>
              <w:autoSpaceDN w:val="0"/>
              <w:adjustRightInd w:val="0"/>
              <w:spacing w:after="0" w:line="240" w:lineRule="auto"/>
              <w:jc w:val="right"/>
              <w:rPr>
                <w:rFonts w:ascii="Arial Narrow" w:hAnsi="Arial Narrow" w:cs="Arial Narrow"/>
                <w:color w:val="000000"/>
                <w:sz w:val="24"/>
                <w:szCs w:val="24"/>
                <w:lang w:eastAsia="es-CO"/>
              </w:rPr>
            </w:pPr>
            <w:r>
              <w:rPr>
                <w:rFonts w:ascii="Arial Narrow" w:hAnsi="Arial Narrow" w:cs="Arial Narrow"/>
                <w:color w:val="000000"/>
                <w:sz w:val="24"/>
                <w:szCs w:val="24"/>
                <w:lang w:eastAsia="es-CO"/>
              </w:rPr>
              <w:t xml:space="preserve">                                208.608 </w:t>
            </w:r>
          </w:p>
        </w:tc>
        <w:tc>
          <w:tcPr>
            <w:tcW w:w="739" w:type="dxa"/>
            <w:tcBorders>
              <w:top w:val="single" w:sz="6" w:space="0" w:color="auto"/>
              <w:left w:val="single" w:sz="6" w:space="0" w:color="auto"/>
              <w:bottom w:val="single" w:sz="6" w:space="0" w:color="auto"/>
              <w:right w:val="single" w:sz="6" w:space="0" w:color="auto"/>
            </w:tcBorders>
          </w:tcPr>
          <w:p w14:paraId="51665BD2" w14:textId="77777777" w:rsidR="008A2138" w:rsidRDefault="008A2138">
            <w:pPr>
              <w:autoSpaceDE w:val="0"/>
              <w:autoSpaceDN w:val="0"/>
              <w:adjustRightInd w:val="0"/>
              <w:spacing w:after="0" w:line="240" w:lineRule="auto"/>
              <w:jc w:val="right"/>
              <w:rPr>
                <w:rFonts w:ascii="Arial Narrow" w:hAnsi="Arial Narrow" w:cs="Arial Narrow"/>
                <w:color w:val="000000"/>
                <w:sz w:val="24"/>
                <w:szCs w:val="24"/>
                <w:lang w:eastAsia="es-CO"/>
              </w:rPr>
            </w:pPr>
            <w:r>
              <w:rPr>
                <w:rFonts w:ascii="Arial Narrow" w:hAnsi="Arial Narrow" w:cs="Arial Narrow"/>
                <w:color w:val="000000"/>
                <w:sz w:val="24"/>
                <w:szCs w:val="24"/>
                <w:lang w:eastAsia="es-CO"/>
              </w:rPr>
              <w:t>7,2%</w:t>
            </w:r>
          </w:p>
        </w:tc>
      </w:tr>
      <w:tr w:rsidR="008A2138" w14:paraId="0BFB68BD" w14:textId="77777777" w:rsidTr="008A2138">
        <w:trPr>
          <w:trHeight w:val="293"/>
        </w:trPr>
        <w:tc>
          <w:tcPr>
            <w:tcW w:w="1569" w:type="dxa"/>
            <w:tcBorders>
              <w:top w:val="single" w:sz="6" w:space="0" w:color="auto"/>
              <w:left w:val="single" w:sz="6" w:space="0" w:color="auto"/>
              <w:bottom w:val="single" w:sz="6" w:space="0" w:color="auto"/>
              <w:right w:val="single" w:sz="6" w:space="0" w:color="auto"/>
            </w:tcBorders>
          </w:tcPr>
          <w:p w14:paraId="70C0FFAE" w14:textId="77777777" w:rsidR="008A2138" w:rsidRDefault="008A2138">
            <w:pPr>
              <w:autoSpaceDE w:val="0"/>
              <w:autoSpaceDN w:val="0"/>
              <w:adjustRightInd w:val="0"/>
              <w:spacing w:after="0" w:line="240" w:lineRule="auto"/>
              <w:rPr>
                <w:rFonts w:ascii="Arial Narrow" w:hAnsi="Arial Narrow" w:cs="Arial Narrow"/>
                <w:b/>
                <w:bCs/>
                <w:color w:val="000000"/>
                <w:sz w:val="24"/>
                <w:szCs w:val="24"/>
                <w:lang w:eastAsia="es-CO"/>
              </w:rPr>
            </w:pPr>
            <w:r>
              <w:rPr>
                <w:rFonts w:ascii="Arial Narrow" w:hAnsi="Arial Narrow" w:cs="Arial Narrow"/>
                <w:b/>
                <w:bCs/>
                <w:color w:val="000000"/>
                <w:sz w:val="24"/>
                <w:szCs w:val="24"/>
                <w:lang w:eastAsia="es-CO"/>
              </w:rPr>
              <w:t xml:space="preserve"> Total </w:t>
            </w:r>
          </w:p>
        </w:tc>
        <w:tc>
          <w:tcPr>
            <w:tcW w:w="1702" w:type="dxa"/>
            <w:tcBorders>
              <w:top w:val="single" w:sz="6" w:space="0" w:color="auto"/>
              <w:left w:val="single" w:sz="6" w:space="0" w:color="auto"/>
              <w:bottom w:val="single" w:sz="6" w:space="0" w:color="auto"/>
              <w:right w:val="single" w:sz="6" w:space="0" w:color="auto"/>
            </w:tcBorders>
          </w:tcPr>
          <w:p w14:paraId="371DA6E7" w14:textId="77777777" w:rsidR="008A2138" w:rsidRDefault="008A2138">
            <w:pPr>
              <w:autoSpaceDE w:val="0"/>
              <w:autoSpaceDN w:val="0"/>
              <w:adjustRightInd w:val="0"/>
              <w:spacing w:after="0" w:line="240" w:lineRule="auto"/>
              <w:jc w:val="right"/>
              <w:rPr>
                <w:rFonts w:ascii="Arial Narrow" w:hAnsi="Arial Narrow" w:cs="Arial Narrow"/>
                <w:b/>
                <w:bCs/>
                <w:color w:val="000000"/>
                <w:sz w:val="24"/>
                <w:szCs w:val="24"/>
                <w:lang w:eastAsia="es-CO"/>
              </w:rPr>
            </w:pPr>
            <w:r>
              <w:rPr>
                <w:rFonts w:ascii="Arial Narrow" w:hAnsi="Arial Narrow" w:cs="Arial Narrow"/>
                <w:b/>
                <w:bCs/>
                <w:color w:val="000000"/>
                <w:sz w:val="24"/>
                <w:szCs w:val="24"/>
                <w:lang w:eastAsia="es-CO"/>
              </w:rPr>
              <w:t xml:space="preserve">                2.901.645 </w:t>
            </w:r>
          </w:p>
        </w:tc>
        <w:tc>
          <w:tcPr>
            <w:tcW w:w="739" w:type="dxa"/>
            <w:tcBorders>
              <w:top w:val="single" w:sz="6" w:space="0" w:color="auto"/>
              <w:left w:val="single" w:sz="6" w:space="0" w:color="auto"/>
              <w:bottom w:val="single" w:sz="6" w:space="0" w:color="auto"/>
              <w:right w:val="single" w:sz="6" w:space="0" w:color="auto"/>
            </w:tcBorders>
          </w:tcPr>
          <w:p w14:paraId="0798CCF4" w14:textId="77777777" w:rsidR="008A2138" w:rsidRDefault="008A2138">
            <w:pPr>
              <w:autoSpaceDE w:val="0"/>
              <w:autoSpaceDN w:val="0"/>
              <w:adjustRightInd w:val="0"/>
              <w:spacing w:after="0" w:line="240" w:lineRule="auto"/>
              <w:jc w:val="right"/>
              <w:rPr>
                <w:rFonts w:ascii="Arial Narrow" w:hAnsi="Arial Narrow" w:cs="Arial Narrow"/>
                <w:b/>
                <w:bCs/>
                <w:color w:val="000000"/>
                <w:sz w:val="24"/>
                <w:szCs w:val="24"/>
                <w:lang w:eastAsia="es-CO"/>
              </w:rPr>
            </w:pPr>
            <w:r>
              <w:rPr>
                <w:rFonts w:ascii="Arial Narrow" w:hAnsi="Arial Narrow" w:cs="Arial Narrow"/>
                <w:b/>
                <w:bCs/>
                <w:color w:val="000000"/>
                <w:sz w:val="24"/>
                <w:szCs w:val="24"/>
                <w:lang w:eastAsia="es-CO"/>
              </w:rPr>
              <w:t>100,0%</w:t>
            </w:r>
          </w:p>
        </w:tc>
      </w:tr>
    </w:tbl>
    <w:p w14:paraId="236E1C7D" w14:textId="4B3DC799" w:rsidR="00014A33" w:rsidRDefault="00014A33" w:rsidP="008A2138"/>
    <w:p w14:paraId="1C1F0AC8" w14:textId="18C57262" w:rsidR="008A2138" w:rsidRDefault="008A2138" w:rsidP="008A2138">
      <w:r>
        <w:t xml:space="preserve">Es razonable que los contadores que trabajan para el Grupo 1 y para las grandes empresas del Grupo 2 tengan retos distintos de los demás. Sin embargo, es un error pretender que tan pequeño grupo de profesionales deba decidir el rumbo a seguir de una profesión que mayoritariamente trabaja para medianas, pequeñas y micro empresas. Aún más: de los </w:t>
      </w:r>
      <w:hyperlink r:id="rId9" w:anchor="gid=1792958402" w:history="1">
        <w:r w:rsidRPr="008A2138">
          <w:rPr>
            <w:rStyle w:val="Hipervnculo"/>
          </w:rPr>
          <w:t>239.691</w:t>
        </w:r>
      </w:hyperlink>
      <w:r>
        <w:t xml:space="preserve"> contadores activos es evidente que muy pocos trabajan por el interés que corresponde al mercado de capitales.</w:t>
      </w:r>
    </w:p>
    <w:p w14:paraId="69C1D1CC" w14:textId="7F6DC644" w:rsidR="004F1CD0" w:rsidRDefault="004F1CD0" w:rsidP="008A2138">
      <w:r>
        <w:t>Hay que tratar igual a los iguales y distinto a los distintos.</w:t>
      </w:r>
    </w:p>
    <w:p w14:paraId="315C1ADC" w14:textId="2D43C5B8" w:rsidR="004F1CD0" w:rsidRPr="004F1CD0" w:rsidRDefault="004F1CD0" w:rsidP="004F1CD0">
      <w:pPr>
        <w:jc w:val="right"/>
        <w:rPr>
          <w:i/>
        </w:rPr>
      </w:pPr>
      <w:r w:rsidRPr="004F1CD0">
        <w:rPr>
          <w:i/>
        </w:rPr>
        <w:t>Hernando Bermúdez Gómez</w:t>
      </w:r>
    </w:p>
    <w:sectPr w:rsidR="004F1CD0" w:rsidRPr="004F1CD0"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CAAC0" w14:textId="77777777" w:rsidR="007F6D9F" w:rsidRDefault="007F6D9F" w:rsidP="00EE7812">
      <w:pPr>
        <w:spacing w:after="0" w:line="240" w:lineRule="auto"/>
      </w:pPr>
      <w:r>
        <w:separator/>
      </w:r>
    </w:p>
  </w:endnote>
  <w:endnote w:type="continuationSeparator" w:id="0">
    <w:p w14:paraId="5271C226" w14:textId="77777777" w:rsidR="007F6D9F" w:rsidRDefault="007F6D9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57F7E" w14:textId="77777777" w:rsidR="007F6D9F" w:rsidRDefault="007F6D9F" w:rsidP="00EE7812">
      <w:pPr>
        <w:spacing w:after="0" w:line="240" w:lineRule="auto"/>
      </w:pPr>
      <w:r>
        <w:separator/>
      </w:r>
    </w:p>
  </w:footnote>
  <w:footnote w:type="continuationSeparator" w:id="0">
    <w:p w14:paraId="4CD7B2F4" w14:textId="77777777" w:rsidR="007F6D9F" w:rsidRDefault="007F6D9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5FCF2B46"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D3728B">
      <w:t>5</w:t>
    </w:r>
    <w:r w:rsidR="004A5D72">
      <w:t>75</w:t>
    </w:r>
    <w:r w:rsidR="00BA1897">
      <w:t>,</w:t>
    </w:r>
    <w:r w:rsidR="00C5117D">
      <w:t xml:space="preserve"> </w:t>
    </w:r>
    <w:r w:rsidR="007B284E">
      <w:t>mayo</w:t>
    </w:r>
    <w:r w:rsidR="00C5117D">
      <w:t xml:space="preserve"> </w:t>
    </w:r>
    <w:r w:rsidR="00664998">
      <w:t>28</w:t>
    </w:r>
    <w:r w:rsidR="00C5117D">
      <w:t xml:space="preserve"> </w:t>
    </w:r>
    <w:r>
      <w:t>de</w:t>
    </w:r>
    <w:r w:rsidR="00C5117D">
      <w:t xml:space="preserve"> </w:t>
    </w:r>
    <w:r>
      <w:t>2018</w:t>
    </w:r>
  </w:p>
  <w:p w14:paraId="29566F03" w14:textId="77777777" w:rsidR="00117F34" w:rsidRDefault="007F6D9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1"/>
  </w:num>
  <w:num w:numId="5">
    <w:abstractNumId w:val="9"/>
  </w:num>
  <w:num w:numId="6">
    <w:abstractNumId w:val="14"/>
  </w:num>
  <w:num w:numId="7">
    <w:abstractNumId w:val="6"/>
  </w:num>
  <w:num w:numId="8">
    <w:abstractNumId w:val="13"/>
  </w:num>
  <w:num w:numId="9">
    <w:abstractNumId w:val="15"/>
  </w:num>
  <w:num w:numId="10">
    <w:abstractNumId w:val="2"/>
  </w:num>
  <w:num w:numId="11">
    <w:abstractNumId w:val="3"/>
  </w:num>
  <w:num w:numId="12">
    <w:abstractNumId w:val="8"/>
  </w:num>
  <w:num w:numId="13">
    <w:abstractNumId w:val="11"/>
  </w:num>
  <w:num w:numId="14">
    <w:abstractNumId w:val="12"/>
  </w:num>
  <w:num w:numId="15">
    <w:abstractNumId w:val="5"/>
  </w:num>
  <w:num w:numId="1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5C"/>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9DB"/>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AC"/>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D9F"/>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2FE"/>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6E7"/>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A1"/>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fecamaras.org.co/phocadownload/2018/Informe_de_Din&#225;mica_Empresarial/Informe_de_Din&#225;mica_Empresarial_Trim_I.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google.com/spreadsheets/d/1rWgADPeZXID1ovRGzAH5Sq37_xR--Qb2UGvxAENg71w/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4F437-2727-4543-80EB-4F8F7FB13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2498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2018-05-27T17:45:00Z</dcterms:created>
  <dcterms:modified xsi:type="dcterms:W3CDTF">2018-05-27T17:45:00Z</dcterms:modified>
</cp:coreProperties>
</file>