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1199" w14:textId="26F6D99A" w:rsidR="006E17DF" w:rsidRPr="006E17DF" w:rsidRDefault="006E17DF" w:rsidP="006E17D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s-MX"/>
        </w:rPr>
      </w:pPr>
      <w:bookmarkStart w:id="0" w:name="_GoBack"/>
      <w:bookmarkEnd w:id="0"/>
      <w:r w:rsidRPr="006E17DF">
        <w:rPr>
          <w:position w:val="-9"/>
          <w:sz w:val="123"/>
          <w:lang w:val="es-MX"/>
        </w:rPr>
        <w:t>E</w:t>
      </w:r>
    </w:p>
    <w:p w14:paraId="395D5E66" w14:textId="2F4FCCEF" w:rsidR="006E17DF" w:rsidRPr="006E17DF" w:rsidRDefault="006E17DF" w:rsidP="006E17DF">
      <w:pPr>
        <w:rPr>
          <w:lang w:val="es-MX"/>
        </w:rPr>
      </w:pPr>
      <w:r w:rsidRPr="006E17DF">
        <w:rPr>
          <w:lang w:val="es-MX"/>
        </w:rPr>
        <w:t xml:space="preserve">n </w:t>
      </w:r>
      <w:r>
        <w:rPr>
          <w:lang w:val="es-MX"/>
        </w:rPr>
        <w:t>el</w:t>
      </w:r>
      <w:r w:rsidRPr="006E17DF">
        <w:rPr>
          <w:lang w:val="es-MX"/>
        </w:rPr>
        <w:t xml:space="preserve"> reciente ciclo de </w:t>
      </w:r>
      <w:r w:rsidRPr="006E17DF">
        <w:rPr>
          <w:i/>
          <w:lang w:val="es-MX"/>
        </w:rPr>
        <w:t>conferencias de contabilidad</w:t>
      </w:r>
      <w:r w:rsidRPr="006E17DF">
        <w:rPr>
          <w:lang w:val="es-MX"/>
        </w:rPr>
        <w:t>, desarrollado en la ciudad de Bogotá se ha</w:t>
      </w:r>
      <w:r>
        <w:rPr>
          <w:lang w:val="es-MX"/>
        </w:rPr>
        <w:t>bló</w:t>
      </w:r>
      <w:r w:rsidRPr="006E17DF">
        <w:rPr>
          <w:lang w:val="es-MX"/>
        </w:rPr>
        <w:t xml:space="preserve"> de la preparación del Contador Público en competencias, pero estas deben ir evolucionando de acuerdo con los alcances no solo de las leyes y las directrices de los entes que emiten las normas ya sea de información financiera o de aseguramiento, sino de 1) conocimiento</w:t>
      </w:r>
      <w:r>
        <w:rPr>
          <w:lang w:val="es-MX"/>
        </w:rPr>
        <w:t>s</w:t>
      </w:r>
      <w:r w:rsidRPr="006E17DF">
        <w:rPr>
          <w:lang w:val="es-MX"/>
        </w:rPr>
        <w:t>, 2) valores y 3) actitudes, en palabras de</w:t>
      </w:r>
      <w:r>
        <w:rPr>
          <w:lang w:val="es-MX"/>
        </w:rPr>
        <w:t>l</w:t>
      </w:r>
      <w:r w:rsidRPr="006E17DF">
        <w:rPr>
          <w:lang w:val="es-MX"/>
        </w:rPr>
        <w:t xml:space="preserve"> presidente del Consejo Técnico de la Contaduría Pública CTCP</w:t>
      </w:r>
      <w:r w:rsidRPr="006E17DF">
        <w:rPr>
          <w:vertAlign w:val="superscript"/>
          <w:lang w:val="es-MX"/>
        </w:rPr>
        <w:footnoteReference w:id="1"/>
      </w:r>
      <w:r w:rsidRPr="006E17DF">
        <w:rPr>
          <w:lang w:val="es-MX"/>
        </w:rPr>
        <w:t xml:space="preserve"> de Colombia. </w:t>
      </w:r>
    </w:p>
    <w:p w14:paraId="4DFB46A5" w14:textId="09F62E6A" w:rsidR="006E17DF" w:rsidRPr="006E17DF" w:rsidRDefault="006E17DF" w:rsidP="006E17DF">
      <w:pPr>
        <w:rPr>
          <w:lang w:val="es-MX"/>
        </w:rPr>
      </w:pPr>
      <w:r w:rsidRPr="006E17DF">
        <w:rPr>
          <w:lang w:val="es-MX"/>
        </w:rPr>
        <w:t xml:space="preserve">Pero </w:t>
      </w:r>
      <w:r>
        <w:rPr>
          <w:lang w:val="es-MX"/>
        </w:rPr>
        <w:t>estos tres componentes</w:t>
      </w:r>
      <w:r w:rsidRPr="006E17DF">
        <w:rPr>
          <w:lang w:val="es-MX"/>
        </w:rPr>
        <w:t xml:space="preserve"> se desarrollan no solo una vez se tiene la tarjeta profesional (una vez culmina sus estudios de profesional) sino que debe ir formándose desde la preparación como universitario</w:t>
      </w:r>
      <w:r>
        <w:rPr>
          <w:lang w:val="es-MX"/>
        </w:rPr>
        <w:t>, por lo que es un</w:t>
      </w:r>
      <w:r w:rsidRPr="006E17DF">
        <w:rPr>
          <w:lang w:val="es-MX"/>
        </w:rPr>
        <w:t xml:space="preserve"> papel importante </w:t>
      </w:r>
      <w:r>
        <w:rPr>
          <w:lang w:val="es-MX"/>
        </w:rPr>
        <w:t xml:space="preserve">el </w:t>
      </w:r>
      <w:r w:rsidRPr="006E17DF">
        <w:rPr>
          <w:lang w:val="es-MX"/>
        </w:rPr>
        <w:t>que tienen sus docentes en esta formación.</w:t>
      </w:r>
    </w:p>
    <w:p w14:paraId="3BD20EBE" w14:textId="0A3B6296" w:rsidR="006E17DF" w:rsidRPr="006E17DF" w:rsidRDefault="006E17DF" w:rsidP="006E17DF">
      <w:pPr>
        <w:rPr>
          <w:lang w:val="es-MX"/>
        </w:rPr>
      </w:pPr>
      <w:r w:rsidRPr="006E17DF">
        <w:rPr>
          <w:lang w:val="es-MX"/>
        </w:rPr>
        <w:t>Es por ello que como dice el refrán “</w:t>
      </w:r>
      <w:r w:rsidRPr="006E17DF">
        <w:rPr>
          <w:i/>
          <w:lang w:val="es-MX"/>
        </w:rPr>
        <w:t>a donde fueres haz lo que vieres</w:t>
      </w:r>
      <w:r w:rsidRPr="006E17DF">
        <w:rPr>
          <w:lang w:val="es-MX"/>
        </w:rPr>
        <w:t xml:space="preserve">” </w:t>
      </w:r>
      <w:r>
        <w:rPr>
          <w:lang w:val="es-MX"/>
        </w:rPr>
        <w:t>el</w:t>
      </w:r>
      <w:r w:rsidRPr="006E17DF">
        <w:rPr>
          <w:lang w:val="es-MX"/>
        </w:rPr>
        <w:t xml:space="preserve"> cual proviene desde hace mucho tiempo atrás y se repite y </w:t>
      </w:r>
      <w:proofErr w:type="gramStart"/>
      <w:r w:rsidRPr="006E17DF">
        <w:rPr>
          <w:lang w:val="es-MX"/>
        </w:rPr>
        <w:t>repite</w:t>
      </w:r>
      <w:proofErr w:type="gramEnd"/>
      <w:r w:rsidRPr="006E17DF">
        <w:rPr>
          <w:lang w:val="es-MX"/>
        </w:rPr>
        <w:t xml:space="preserve"> pero solo se apropia por algunos.</w:t>
      </w:r>
    </w:p>
    <w:p w14:paraId="048C70F5" w14:textId="2341CE1D" w:rsidR="006E17DF" w:rsidRPr="006E17DF" w:rsidRDefault="006E17DF" w:rsidP="006E17DF">
      <w:pPr>
        <w:rPr>
          <w:lang w:val="es-MX"/>
        </w:rPr>
      </w:pPr>
      <w:r w:rsidRPr="006E17DF">
        <w:rPr>
          <w:lang w:val="es-MX"/>
        </w:rPr>
        <w:t>Esta palabra que viene desde “</w:t>
      </w:r>
      <w:r w:rsidRPr="006E17DF">
        <w:rPr>
          <w:b/>
          <w:bCs/>
          <w:lang w:val="es-ES"/>
        </w:rPr>
        <w:t xml:space="preserve">‘Cum </w:t>
      </w:r>
      <w:proofErr w:type="spellStart"/>
      <w:r w:rsidRPr="006E17DF">
        <w:rPr>
          <w:b/>
          <w:bCs/>
          <w:lang w:val="es-ES"/>
        </w:rPr>
        <w:t>Romae</w:t>
      </w:r>
      <w:proofErr w:type="spellEnd"/>
      <w:r w:rsidRPr="006E17DF">
        <w:rPr>
          <w:b/>
          <w:bCs/>
          <w:lang w:val="es-ES"/>
        </w:rPr>
        <w:t xml:space="preserve"> </w:t>
      </w:r>
      <w:proofErr w:type="spellStart"/>
      <w:r w:rsidRPr="006E17DF">
        <w:rPr>
          <w:b/>
          <w:bCs/>
          <w:lang w:val="es-ES"/>
        </w:rPr>
        <w:t>fueritis</w:t>
      </w:r>
      <w:proofErr w:type="spellEnd"/>
      <w:r w:rsidRPr="006E17DF">
        <w:rPr>
          <w:b/>
          <w:bCs/>
          <w:lang w:val="es-ES"/>
        </w:rPr>
        <w:t xml:space="preserve">, Romano </w:t>
      </w:r>
      <w:proofErr w:type="spellStart"/>
      <w:r w:rsidRPr="006E17DF">
        <w:rPr>
          <w:b/>
          <w:bCs/>
          <w:lang w:val="es-ES"/>
        </w:rPr>
        <w:t>vivite</w:t>
      </w:r>
      <w:proofErr w:type="spellEnd"/>
      <w:r w:rsidRPr="006E17DF">
        <w:rPr>
          <w:b/>
          <w:bCs/>
          <w:lang w:val="es-ES"/>
        </w:rPr>
        <w:t xml:space="preserve"> more</w:t>
      </w:r>
      <w:proofErr w:type="gramStart"/>
      <w:r w:rsidRPr="006E17DF">
        <w:rPr>
          <w:b/>
          <w:bCs/>
          <w:lang w:val="es-ES"/>
        </w:rPr>
        <w:t>’</w:t>
      </w:r>
      <w:r w:rsidRPr="006E17DF">
        <w:rPr>
          <w:i/>
          <w:iCs/>
          <w:lang w:val="es-ES"/>
        </w:rPr>
        <w:t>(</w:t>
      </w:r>
      <w:proofErr w:type="gramEnd"/>
      <w:r w:rsidRPr="006E17DF">
        <w:rPr>
          <w:i/>
          <w:iCs/>
          <w:lang w:val="es-ES"/>
        </w:rPr>
        <w:t>‘Cuando a Roma fueres, como romano vivieres)</w:t>
      </w:r>
      <w:r w:rsidRPr="006E17DF">
        <w:rPr>
          <w:lang w:val="es-MX"/>
        </w:rPr>
        <w:t>”, invita a vivir dando ejemplo y “</w:t>
      </w:r>
      <w:r w:rsidRPr="006E17DF">
        <w:rPr>
          <w:i/>
          <w:lang w:val="es-MX"/>
        </w:rPr>
        <w:t>ponerse la camiseta</w:t>
      </w:r>
      <w:r w:rsidRPr="006E17DF">
        <w:rPr>
          <w:lang w:val="es-MX"/>
        </w:rPr>
        <w:t xml:space="preserve">” para dar fe pública que nos otorgó la ley con un espaldarazo de confianza pero de cara al público interesado en los informes </w:t>
      </w:r>
      <w:r w:rsidRPr="006E17DF">
        <w:rPr>
          <w:lang w:val="es-MX"/>
        </w:rPr>
        <w:t>que mediante su firma da el Contador Público.</w:t>
      </w:r>
    </w:p>
    <w:p w14:paraId="1AD629FE" w14:textId="2E8CFC2A" w:rsidR="006E17DF" w:rsidRPr="006E17DF" w:rsidRDefault="006E17DF" w:rsidP="006E17DF">
      <w:pPr>
        <w:rPr>
          <w:lang w:val="es-MX"/>
        </w:rPr>
      </w:pPr>
      <w:r w:rsidRPr="006E17DF">
        <w:rPr>
          <w:lang w:val="es-MX"/>
        </w:rPr>
        <w:t>Pero tal vez los Contadores Públicos, preocupados por los reportes de cada día, nos olvidamos de estar atentos de las directrices globales como la entregada en el documento “</w:t>
      </w:r>
      <w:proofErr w:type="spellStart"/>
      <w:r w:rsidRPr="006E17DF">
        <w:rPr>
          <w:i/>
          <w:lang w:val="es-MX"/>
        </w:rPr>
        <w:t>The</w:t>
      </w:r>
      <w:proofErr w:type="spellEnd"/>
      <w:r w:rsidRPr="006E17DF">
        <w:rPr>
          <w:i/>
          <w:lang w:val="es-MX"/>
        </w:rPr>
        <w:t xml:space="preserve"> </w:t>
      </w:r>
      <w:proofErr w:type="spellStart"/>
      <w:r w:rsidRPr="006E17DF">
        <w:rPr>
          <w:i/>
          <w:lang w:val="es-MX"/>
        </w:rPr>
        <w:t>IAASB’s</w:t>
      </w:r>
      <w:proofErr w:type="spellEnd"/>
      <w:r w:rsidRPr="006E17DF">
        <w:rPr>
          <w:i/>
          <w:lang w:val="es-MX"/>
        </w:rPr>
        <w:t xml:space="preserve"> </w:t>
      </w:r>
      <w:proofErr w:type="spellStart"/>
      <w:r w:rsidRPr="006E17DF">
        <w:rPr>
          <w:i/>
          <w:lang w:val="es-MX"/>
        </w:rPr>
        <w:t>Strategy</w:t>
      </w:r>
      <w:proofErr w:type="spellEnd"/>
      <w:r w:rsidRPr="006E17DF">
        <w:rPr>
          <w:i/>
          <w:lang w:val="es-MX"/>
        </w:rPr>
        <w:t xml:space="preserve"> </w:t>
      </w:r>
      <w:proofErr w:type="spellStart"/>
      <w:r w:rsidRPr="006E17DF">
        <w:rPr>
          <w:i/>
          <w:lang w:val="es-MX"/>
        </w:rPr>
        <w:t>for</w:t>
      </w:r>
      <w:proofErr w:type="spellEnd"/>
      <w:r w:rsidRPr="006E17DF">
        <w:rPr>
          <w:i/>
          <w:lang w:val="es-MX"/>
        </w:rPr>
        <w:t xml:space="preserve"> 2015–2019</w:t>
      </w:r>
      <w:r w:rsidRPr="006E17DF">
        <w:rPr>
          <w:lang w:val="es-MX"/>
        </w:rPr>
        <w:t>”</w:t>
      </w:r>
      <w:r w:rsidRPr="006E17DF">
        <w:rPr>
          <w:vertAlign w:val="superscript"/>
          <w:lang w:val="es-MX"/>
        </w:rPr>
        <w:footnoteReference w:id="2"/>
      </w:r>
      <w:r w:rsidRPr="006E17DF">
        <w:rPr>
          <w:lang w:val="es-MX"/>
        </w:rPr>
        <w:t>, mediante la cual se hace mención a la participación de informes que complementan y aportan a la profesión y a la sociedad como lo es el apoyo en la elaboración del Reporte Integrando, como una forma de reportar otros temas tales como “</w:t>
      </w:r>
      <w:r w:rsidRPr="006E17DF">
        <w:rPr>
          <w:i/>
          <w:lang w:val="es-MX"/>
        </w:rPr>
        <w:t>informe de gestión, gobierno corporativo, riesgos y control interno, y el futuro de una entidad</w:t>
      </w:r>
      <w:r w:rsidRPr="006E17DF">
        <w:rPr>
          <w:lang w:val="es-MX"/>
        </w:rPr>
        <w:t>”</w:t>
      </w:r>
      <w:r w:rsidRPr="006E17DF">
        <w:rPr>
          <w:vertAlign w:val="superscript"/>
          <w:lang w:val="es-MX"/>
        </w:rPr>
        <w:footnoteReference w:id="3"/>
      </w:r>
      <w:r w:rsidRPr="006E17DF">
        <w:rPr>
          <w:lang w:val="es-MX"/>
        </w:rPr>
        <w:t>.</w:t>
      </w:r>
    </w:p>
    <w:p w14:paraId="2515B796" w14:textId="637363AB" w:rsidR="006E17DF" w:rsidRPr="006E17DF" w:rsidRDefault="006E17DF" w:rsidP="006E17DF">
      <w:pPr>
        <w:rPr>
          <w:lang w:val="es-MX"/>
        </w:rPr>
      </w:pPr>
      <w:r w:rsidRPr="006E17DF">
        <w:rPr>
          <w:lang w:val="es-MX"/>
        </w:rPr>
        <w:t>En palabras del Dr. Hernando Bermúdez, los problemas de la contabilidad no son del Contador Público, sino del empresario y este profesional es llamado a participar</w:t>
      </w:r>
      <w:r>
        <w:rPr>
          <w:lang w:val="es-MX"/>
        </w:rPr>
        <w:t xml:space="preserve"> </w:t>
      </w:r>
      <w:r w:rsidRPr="006E17DF">
        <w:rPr>
          <w:lang w:val="es-MX"/>
        </w:rPr>
        <w:t>de manera activa en el aporte a la dinámica de los negocios hoy en temas de sostenibilidad, gestión y reporte integrado, ya mencionado.</w:t>
      </w:r>
    </w:p>
    <w:p w14:paraId="4D30C5D1" w14:textId="77777777" w:rsidR="006E17DF" w:rsidRPr="006E17DF" w:rsidRDefault="006E17DF" w:rsidP="006E17DF">
      <w:pPr>
        <w:rPr>
          <w:lang w:val="es-MX"/>
        </w:rPr>
      </w:pPr>
      <w:r w:rsidRPr="006E17DF">
        <w:rPr>
          <w:lang w:val="es-MX"/>
        </w:rPr>
        <w:t>El llamado es a la participación en escenarios que hagan crecer la profesión y los espacios están dados. Lo que hay que hacer es apropiarlos y dar los aportes, cada uno con un punto de vista “divergente”, que es lo que hace crecer la profesión.</w:t>
      </w:r>
    </w:p>
    <w:p w14:paraId="7521D784" w14:textId="5CC36FE9" w:rsidR="00C01BC4" w:rsidRPr="006E17DF" w:rsidRDefault="006E17DF" w:rsidP="006E17DF">
      <w:pPr>
        <w:jc w:val="right"/>
      </w:pPr>
      <w:proofErr w:type="spellStart"/>
      <w:r w:rsidRPr="006E17DF">
        <w:rPr>
          <w:i/>
          <w:lang w:val="es-MX"/>
        </w:rPr>
        <w:t>Yasnyr</w:t>
      </w:r>
      <w:proofErr w:type="spellEnd"/>
      <w:r w:rsidRPr="006E17DF">
        <w:rPr>
          <w:i/>
          <w:lang w:val="es-MX"/>
        </w:rPr>
        <w:t xml:space="preserve"> Estévez Quebradas</w:t>
      </w:r>
    </w:p>
    <w:sectPr w:rsidR="00C01BC4" w:rsidRPr="006E17DF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7FD7B" w14:textId="77777777" w:rsidR="00400AD2" w:rsidRDefault="00400AD2" w:rsidP="00EE7812">
      <w:pPr>
        <w:spacing w:after="0" w:line="240" w:lineRule="auto"/>
      </w:pPr>
      <w:r>
        <w:separator/>
      </w:r>
    </w:p>
  </w:endnote>
  <w:endnote w:type="continuationSeparator" w:id="0">
    <w:p w14:paraId="01607B6E" w14:textId="77777777" w:rsidR="00400AD2" w:rsidRDefault="00400AD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70112" w14:textId="77777777" w:rsidR="00400AD2" w:rsidRDefault="00400AD2" w:rsidP="00EE7812">
      <w:pPr>
        <w:spacing w:after="0" w:line="240" w:lineRule="auto"/>
      </w:pPr>
      <w:r>
        <w:separator/>
      </w:r>
    </w:p>
  </w:footnote>
  <w:footnote w:type="continuationSeparator" w:id="0">
    <w:p w14:paraId="74FB0D5B" w14:textId="77777777" w:rsidR="00400AD2" w:rsidRDefault="00400AD2" w:rsidP="00EE7812">
      <w:pPr>
        <w:spacing w:after="0" w:line="240" w:lineRule="auto"/>
      </w:pPr>
      <w:r>
        <w:continuationSeparator/>
      </w:r>
    </w:p>
  </w:footnote>
  <w:footnote w:id="1">
    <w:p w14:paraId="1EB58F80" w14:textId="77777777" w:rsidR="006E17DF" w:rsidRPr="00FA68DA" w:rsidRDefault="006E17DF" w:rsidP="006E17DF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Palabras del Dr. Wilmar Franco, presidente del CTCP. O</w:t>
      </w:r>
      <w:r w:rsidRPr="00FA68DA">
        <w:t>rganismo de normalización técnica de normas contables, de información financiera y de aseguramiento de la información</w:t>
      </w:r>
      <w:r>
        <w:t>. Ley 1314 de 2009 art 6</w:t>
      </w:r>
    </w:p>
  </w:footnote>
  <w:footnote w:id="2">
    <w:p w14:paraId="364EE683" w14:textId="77777777" w:rsidR="006E17DF" w:rsidRPr="00A54BDD" w:rsidRDefault="006E17DF" w:rsidP="006E17D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C177A5">
          <w:rPr>
            <w:rStyle w:val="Hipervnculo"/>
          </w:rPr>
          <w:t>https://www.ifac.org/system/files/publications/files/IAASB-Strategy-2015-2019_0.pdf</w:t>
        </w:r>
      </w:hyperlink>
      <w:r>
        <w:t xml:space="preserve"> </w:t>
      </w:r>
    </w:p>
  </w:footnote>
  <w:footnote w:id="3">
    <w:p w14:paraId="0BEDEE3C" w14:textId="77777777" w:rsidR="006E17DF" w:rsidRPr="00A54BDD" w:rsidRDefault="006E17DF" w:rsidP="006E17D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val="es-MX"/>
        </w:rPr>
        <w:t>Ibídem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6AE16F6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D3728B">
      <w:t>5</w:t>
    </w:r>
    <w:r w:rsidR="009F63C3">
      <w:t>9</w:t>
    </w:r>
    <w:r w:rsidR="006E17DF">
      <w:t>8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505B6E">
      <w:t>4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400AD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65F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B8"/>
    <w:rsid w:val="00332F0B"/>
    <w:rsid w:val="00332FA5"/>
    <w:rsid w:val="00333032"/>
    <w:rsid w:val="00333133"/>
    <w:rsid w:val="00333225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3E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AD2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7D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2FE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7B1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35C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fac.org/system/files/publications/files/IAASB-Strategy-2015-2019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F50D-EAF6-412F-B65F-C097B47B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2403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2018-06-02T16:49:00Z</dcterms:created>
  <dcterms:modified xsi:type="dcterms:W3CDTF">2018-06-02T16:49:00Z</dcterms:modified>
</cp:coreProperties>
</file>