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16490" w14:textId="1A8C91E7" w:rsidR="00DA6556" w:rsidRPr="00DA6556" w:rsidRDefault="00DA6556" w:rsidP="00DA6556">
      <w:pPr>
        <w:keepNext/>
        <w:framePr w:dropCap="drop" w:lines="3" w:wrap="around" w:vAnchor="text" w:hAnchor="text"/>
        <w:spacing w:after="0" w:line="926" w:lineRule="exact"/>
        <w:textAlignment w:val="baseline"/>
        <w:rPr>
          <w:position w:val="-8"/>
          <w:sz w:val="122"/>
        </w:rPr>
      </w:pPr>
      <w:bookmarkStart w:id="0" w:name="_GoBack"/>
      <w:bookmarkEnd w:id="0"/>
      <w:r w:rsidRPr="00DA6556">
        <w:rPr>
          <w:position w:val="-8"/>
          <w:sz w:val="122"/>
        </w:rPr>
        <w:t>V</w:t>
      </w:r>
    </w:p>
    <w:p w14:paraId="57AC5E88" w14:textId="140F22FB" w:rsidR="00AC0803" w:rsidRDefault="00DA6556" w:rsidP="00BF7CAB">
      <w:r>
        <w:t xml:space="preserve">arias veces hemos destacado el importante papel de la doctrina. También hemos censurado la pobreza de los pronunciamientos del CTCP. A lo largo de su existencia se ha dedicado a cuestiones legales más que a hacer pronunciamientos técnicos, como le corresponde. Leyendo varias consultas recientes vemos que hay </w:t>
      </w:r>
      <w:r w:rsidR="009D2E68">
        <w:t xml:space="preserve">ciertas </w:t>
      </w:r>
      <w:r>
        <w:t>manifestaciones expresas de descontento por la falta de claridad de algunas respuestas. A nosotros nos preocupan más sus errores.</w:t>
      </w:r>
    </w:p>
    <w:p w14:paraId="48242F05" w14:textId="5F4F87B1" w:rsidR="00DA6556" w:rsidRDefault="00DA6556" w:rsidP="00DA6556">
      <w:r>
        <w:t xml:space="preserve">Recientemente un contratista de la JCC preguntó si debía o no computar, para los efectos del artículo 215 del </w:t>
      </w:r>
      <w:hyperlink r:id="rId8" w:anchor="215" w:history="1">
        <w:r w:rsidRPr="00DA6556">
          <w:rPr>
            <w:rStyle w:val="Hipervnculo"/>
          </w:rPr>
          <w:t>Código de Comercio</w:t>
        </w:r>
      </w:hyperlink>
      <w:r>
        <w:t xml:space="preserve">, a un revisor inscrito respecto del cual aparecía </w:t>
      </w:r>
      <w:r w:rsidR="00F51C46">
        <w:t xml:space="preserve">en el registro </w:t>
      </w:r>
      <w:r>
        <w:t xml:space="preserve">noticia de su renuncia. El CTCP sostuvo: “(…) </w:t>
      </w:r>
      <w:r w:rsidRPr="00DA6556">
        <w:rPr>
          <w:i/>
        </w:rPr>
        <w:t>Así</w:t>
      </w:r>
      <w:r>
        <w:rPr>
          <w:i/>
        </w:rPr>
        <w:t xml:space="preserve"> </w:t>
      </w:r>
      <w:r w:rsidRPr="00DA6556">
        <w:rPr>
          <w:i/>
        </w:rPr>
        <w:t>las</w:t>
      </w:r>
      <w:r>
        <w:rPr>
          <w:i/>
        </w:rPr>
        <w:t xml:space="preserve"> </w:t>
      </w:r>
      <w:r w:rsidRPr="00DA6556">
        <w:rPr>
          <w:i/>
        </w:rPr>
        <w:t>cosas,</w:t>
      </w:r>
      <w:r>
        <w:rPr>
          <w:i/>
        </w:rPr>
        <w:t xml:space="preserve"> </w:t>
      </w:r>
      <w:r w:rsidRPr="00DA6556">
        <w:rPr>
          <w:i/>
        </w:rPr>
        <w:t>dando</w:t>
      </w:r>
      <w:r>
        <w:rPr>
          <w:i/>
        </w:rPr>
        <w:t xml:space="preserve"> </w:t>
      </w:r>
      <w:r w:rsidRPr="00DA6556">
        <w:rPr>
          <w:i/>
        </w:rPr>
        <w:t>respuesta</w:t>
      </w:r>
      <w:r>
        <w:rPr>
          <w:i/>
        </w:rPr>
        <w:t xml:space="preserve"> </w:t>
      </w:r>
      <w:r w:rsidRPr="00DA6556">
        <w:rPr>
          <w:i/>
        </w:rPr>
        <w:t>a</w:t>
      </w:r>
      <w:r>
        <w:rPr>
          <w:i/>
        </w:rPr>
        <w:t xml:space="preserve"> </w:t>
      </w:r>
      <w:r w:rsidRPr="00DA6556">
        <w:rPr>
          <w:i/>
        </w:rPr>
        <w:t>la</w:t>
      </w:r>
      <w:r>
        <w:rPr>
          <w:i/>
        </w:rPr>
        <w:t xml:space="preserve"> </w:t>
      </w:r>
      <w:r w:rsidRPr="00DA6556">
        <w:rPr>
          <w:i/>
        </w:rPr>
        <w:t>pregunta</w:t>
      </w:r>
      <w:r>
        <w:rPr>
          <w:i/>
        </w:rPr>
        <w:t xml:space="preserve"> </w:t>
      </w:r>
      <w:r w:rsidRPr="00DA6556">
        <w:rPr>
          <w:i/>
        </w:rPr>
        <w:t>planteada</w:t>
      </w:r>
      <w:r>
        <w:rPr>
          <w:i/>
        </w:rPr>
        <w:t xml:space="preserve"> </w:t>
      </w:r>
      <w:r w:rsidRPr="00DA6556">
        <w:rPr>
          <w:i/>
        </w:rPr>
        <w:t>por</w:t>
      </w:r>
      <w:r>
        <w:rPr>
          <w:i/>
        </w:rPr>
        <w:t xml:space="preserve"> </w:t>
      </w:r>
      <w:r w:rsidRPr="00DA6556">
        <w:rPr>
          <w:i/>
        </w:rPr>
        <w:t>el</w:t>
      </w:r>
      <w:r>
        <w:rPr>
          <w:i/>
        </w:rPr>
        <w:t xml:space="preserve"> </w:t>
      </w:r>
      <w:r w:rsidRPr="00DA6556">
        <w:rPr>
          <w:i/>
        </w:rPr>
        <w:t>consultante,</w:t>
      </w:r>
      <w:r>
        <w:rPr>
          <w:i/>
        </w:rPr>
        <w:t xml:space="preserve"> </w:t>
      </w:r>
      <w:r w:rsidRPr="00DA6556">
        <w:rPr>
          <w:i/>
        </w:rPr>
        <w:t>en</w:t>
      </w:r>
      <w:r>
        <w:rPr>
          <w:i/>
        </w:rPr>
        <w:t xml:space="preserve"> </w:t>
      </w:r>
      <w:r w:rsidRPr="00DA6556">
        <w:rPr>
          <w:i/>
        </w:rPr>
        <w:t>nuestra</w:t>
      </w:r>
      <w:r>
        <w:rPr>
          <w:i/>
        </w:rPr>
        <w:t xml:space="preserve"> </w:t>
      </w:r>
      <w:r w:rsidRPr="00DA6556">
        <w:rPr>
          <w:i/>
        </w:rPr>
        <w:t>opinión,</w:t>
      </w:r>
      <w:r>
        <w:rPr>
          <w:i/>
        </w:rPr>
        <w:t xml:space="preserve"> </w:t>
      </w:r>
      <w:r w:rsidRPr="00DA6556">
        <w:rPr>
          <w:i/>
        </w:rPr>
        <w:t>la</w:t>
      </w:r>
      <w:r>
        <w:rPr>
          <w:i/>
        </w:rPr>
        <w:t xml:space="preserve"> </w:t>
      </w:r>
      <w:r w:rsidRPr="00DA6556">
        <w:rPr>
          <w:i/>
        </w:rPr>
        <w:t>Corte Constitucional</w:t>
      </w:r>
      <w:r>
        <w:rPr>
          <w:i/>
        </w:rPr>
        <w:t xml:space="preserve"> </w:t>
      </w:r>
      <w:r w:rsidRPr="00DA6556">
        <w:rPr>
          <w:i/>
        </w:rPr>
        <w:t>en</w:t>
      </w:r>
      <w:r>
        <w:rPr>
          <w:i/>
        </w:rPr>
        <w:t xml:space="preserve"> </w:t>
      </w:r>
      <w:r w:rsidRPr="00DA6556">
        <w:rPr>
          <w:i/>
        </w:rPr>
        <w:t>sentencia</w:t>
      </w:r>
      <w:r>
        <w:rPr>
          <w:i/>
        </w:rPr>
        <w:t xml:space="preserve"> </w:t>
      </w:r>
      <w:r w:rsidRPr="00DA6556">
        <w:rPr>
          <w:i/>
        </w:rPr>
        <w:t>C-621</w:t>
      </w:r>
      <w:r>
        <w:rPr>
          <w:i/>
        </w:rPr>
        <w:t xml:space="preserve"> </w:t>
      </w:r>
      <w:r w:rsidRPr="00DA6556">
        <w:rPr>
          <w:i/>
        </w:rPr>
        <w:t>de</w:t>
      </w:r>
      <w:r>
        <w:rPr>
          <w:i/>
        </w:rPr>
        <w:t xml:space="preserve"> </w:t>
      </w:r>
      <w:r w:rsidRPr="00DA6556">
        <w:rPr>
          <w:i/>
        </w:rPr>
        <w:t>2003</w:t>
      </w:r>
      <w:r>
        <w:rPr>
          <w:i/>
        </w:rPr>
        <w:t xml:space="preserve">, </w:t>
      </w:r>
      <w:r w:rsidRPr="00DA6556">
        <w:rPr>
          <w:i/>
        </w:rPr>
        <w:t>declar</w:t>
      </w:r>
      <w:r>
        <w:rPr>
          <w:i/>
        </w:rPr>
        <w:t xml:space="preserve">ó </w:t>
      </w:r>
      <w:r w:rsidRPr="00DA6556">
        <w:rPr>
          <w:i/>
        </w:rPr>
        <w:t>la</w:t>
      </w:r>
      <w:r>
        <w:rPr>
          <w:i/>
        </w:rPr>
        <w:t xml:space="preserve"> </w:t>
      </w:r>
      <w:r w:rsidRPr="00DA6556">
        <w:rPr>
          <w:i/>
        </w:rPr>
        <w:t>constitucionalidad</w:t>
      </w:r>
      <w:r>
        <w:rPr>
          <w:i/>
        </w:rPr>
        <w:t xml:space="preserve"> </w:t>
      </w:r>
      <w:r w:rsidRPr="00DA6556">
        <w:rPr>
          <w:i/>
        </w:rPr>
        <w:t>condicionada</w:t>
      </w:r>
      <w:r>
        <w:rPr>
          <w:i/>
        </w:rPr>
        <w:t xml:space="preserve"> </w:t>
      </w:r>
      <w:r w:rsidRPr="00DA6556">
        <w:rPr>
          <w:i/>
        </w:rPr>
        <w:t>del</w:t>
      </w:r>
      <w:r>
        <w:rPr>
          <w:i/>
        </w:rPr>
        <w:t xml:space="preserve"> </w:t>
      </w:r>
      <w:r w:rsidRPr="00DA6556">
        <w:rPr>
          <w:i/>
        </w:rPr>
        <w:t>artículo</w:t>
      </w:r>
      <w:r>
        <w:rPr>
          <w:i/>
        </w:rPr>
        <w:t xml:space="preserve"> </w:t>
      </w:r>
      <w:r w:rsidRPr="00DA6556">
        <w:rPr>
          <w:i/>
        </w:rPr>
        <w:t>164</w:t>
      </w:r>
      <w:r>
        <w:rPr>
          <w:i/>
        </w:rPr>
        <w:t xml:space="preserve"> </w:t>
      </w:r>
      <w:r w:rsidRPr="00DA6556">
        <w:rPr>
          <w:i/>
        </w:rPr>
        <w:t>del Código</w:t>
      </w:r>
      <w:r>
        <w:rPr>
          <w:i/>
        </w:rPr>
        <w:t xml:space="preserve"> </w:t>
      </w:r>
      <w:r w:rsidRPr="00DA6556">
        <w:rPr>
          <w:i/>
        </w:rPr>
        <w:t>del</w:t>
      </w:r>
      <w:r>
        <w:rPr>
          <w:i/>
        </w:rPr>
        <w:t xml:space="preserve"> </w:t>
      </w:r>
      <w:r w:rsidRPr="00DA6556">
        <w:rPr>
          <w:i/>
        </w:rPr>
        <w:t>Comercio,</w:t>
      </w:r>
      <w:r>
        <w:rPr>
          <w:i/>
        </w:rPr>
        <w:t xml:space="preserve"> </w:t>
      </w:r>
      <w:r w:rsidRPr="00DA6556">
        <w:rPr>
          <w:i/>
        </w:rPr>
        <w:t>se</w:t>
      </w:r>
      <w:r w:rsidR="009D2E68">
        <w:rPr>
          <w:i/>
        </w:rPr>
        <w:t>ñ</w:t>
      </w:r>
      <w:r w:rsidRPr="00DA6556">
        <w:rPr>
          <w:i/>
        </w:rPr>
        <w:t>alando</w:t>
      </w:r>
      <w:r>
        <w:rPr>
          <w:i/>
        </w:rPr>
        <w:t xml:space="preserve"> </w:t>
      </w:r>
      <w:r w:rsidRPr="00DA6556">
        <w:rPr>
          <w:i/>
        </w:rPr>
        <w:t>un</w:t>
      </w:r>
      <w:r>
        <w:rPr>
          <w:i/>
        </w:rPr>
        <w:t xml:space="preserve"> </w:t>
      </w:r>
      <w:r w:rsidRPr="00DA6556">
        <w:rPr>
          <w:i/>
        </w:rPr>
        <w:t>plazo</w:t>
      </w:r>
      <w:r>
        <w:rPr>
          <w:i/>
        </w:rPr>
        <w:t xml:space="preserve"> </w:t>
      </w:r>
      <w:r w:rsidRPr="00DA6556">
        <w:rPr>
          <w:i/>
        </w:rPr>
        <w:t>de</w:t>
      </w:r>
      <w:r>
        <w:rPr>
          <w:i/>
        </w:rPr>
        <w:t xml:space="preserve"> </w:t>
      </w:r>
      <w:r w:rsidRPr="00DA6556">
        <w:rPr>
          <w:i/>
        </w:rPr>
        <w:t>treinta</w:t>
      </w:r>
      <w:r>
        <w:rPr>
          <w:i/>
        </w:rPr>
        <w:t xml:space="preserve"> </w:t>
      </w:r>
      <w:r w:rsidR="009D2E68">
        <w:rPr>
          <w:i/>
        </w:rPr>
        <w:t>dí</w:t>
      </w:r>
      <w:r w:rsidRPr="00DA6556">
        <w:rPr>
          <w:i/>
        </w:rPr>
        <w:t>as</w:t>
      </w:r>
      <w:r>
        <w:rPr>
          <w:i/>
        </w:rPr>
        <w:t xml:space="preserve"> </w:t>
      </w:r>
      <w:r w:rsidRPr="00DA6556">
        <w:rPr>
          <w:i/>
        </w:rPr>
        <w:t>para</w:t>
      </w:r>
      <w:r>
        <w:rPr>
          <w:i/>
        </w:rPr>
        <w:t xml:space="preserve"> </w:t>
      </w:r>
      <w:r w:rsidRPr="00DA6556">
        <w:rPr>
          <w:i/>
        </w:rPr>
        <w:t>que</w:t>
      </w:r>
      <w:r>
        <w:rPr>
          <w:i/>
        </w:rPr>
        <w:t xml:space="preserve"> </w:t>
      </w:r>
      <w:r w:rsidRPr="00DA6556">
        <w:rPr>
          <w:i/>
        </w:rPr>
        <w:t>el</w:t>
      </w:r>
      <w:r>
        <w:rPr>
          <w:i/>
        </w:rPr>
        <w:t xml:space="preserve"> </w:t>
      </w:r>
      <w:r w:rsidR="009D2E68">
        <w:rPr>
          <w:i/>
        </w:rPr>
        <w:t>máximo</w:t>
      </w:r>
      <w:r>
        <w:rPr>
          <w:i/>
        </w:rPr>
        <w:t xml:space="preserve"> </w:t>
      </w:r>
      <w:r w:rsidR="009D2E68">
        <w:rPr>
          <w:i/>
        </w:rPr>
        <w:t>ó</w:t>
      </w:r>
      <w:r w:rsidRPr="00DA6556">
        <w:rPr>
          <w:i/>
        </w:rPr>
        <w:t>rgano</w:t>
      </w:r>
      <w:r>
        <w:rPr>
          <w:i/>
        </w:rPr>
        <w:t xml:space="preserve"> </w:t>
      </w:r>
      <w:r w:rsidRPr="00DA6556">
        <w:rPr>
          <w:i/>
        </w:rPr>
        <w:t>social</w:t>
      </w:r>
      <w:r>
        <w:rPr>
          <w:i/>
        </w:rPr>
        <w:t xml:space="preserve"> </w:t>
      </w:r>
      <w:r w:rsidRPr="00DA6556">
        <w:rPr>
          <w:i/>
        </w:rPr>
        <w:t>realice</w:t>
      </w:r>
      <w:r>
        <w:rPr>
          <w:i/>
        </w:rPr>
        <w:t xml:space="preserve"> </w:t>
      </w:r>
      <w:r w:rsidRPr="00DA6556">
        <w:rPr>
          <w:i/>
        </w:rPr>
        <w:t>la elec</w:t>
      </w:r>
      <w:r w:rsidR="009D2E68">
        <w:rPr>
          <w:i/>
        </w:rPr>
        <w:t>ción</w:t>
      </w:r>
      <w:r>
        <w:rPr>
          <w:i/>
        </w:rPr>
        <w:t xml:space="preserve"> </w:t>
      </w:r>
      <w:r w:rsidRPr="00DA6556">
        <w:rPr>
          <w:i/>
        </w:rPr>
        <w:t>o</w:t>
      </w:r>
      <w:r>
        <w:rPr>
          <w:i/>
        </w:rPr>
        <w:t xml:space="preserve"> </w:t>
      </w:r>
      <w:r w:rsidRPr="00DA6556">
        <w:rPr>
          <w:i/>
        </w:rPr>
        <w:t>nombramiento</w:t>
      </w:r>
      <w:r>
        <w:rPr>
          <w:i/>
        </w:rPr>
        <w:t xml:space="preserve"> </w:t>
      </w:r>
      <w:r w:rsidRPr="00DA6556">
        <w:rPr>
          <w:i/>
        </w:rPr>
        <w:t>del</w:t>
      </w:r>
      <w:r>
        <w:rPr>
          <w:i/>
        </w:rPr>
        <w:t xml:space="preserve"> </w:t>
      </w:r>
      <w:r w:rsidRPr="00DA6556">
        <w:rPr>
          <w:i/>
        </w:rPr>
        <w:t>nuevo</w:t>
      </w:r>
      <w:r>
        <w:rPr>
          <w:i/>
        </w:rPr>
        <w:t xml:space="preserve"> </w:t>
      </w:r>
      <w:r w:rsidRPr="00DA6556">
        <w:rPr>
          <w:i/>
        </w:rPr>
        <w:t>revisor</w:t>
      </w:r>
      <w:r>
        <w:rPr>
          <w:i/>
        </w:rPr>
        <w:t xml:space="preserve"> </w:t>
      </w:r>
      <w:r w:rsidRPr="00DA6556">
        <w:rPr>
          <w:i/>
        </w:rPr>
        <w:t>fiscal,</w:t>
      </w:r>
      <w:r>
        <w:rPr>
          <w:i/>
        </w:rPr>
        <w:t xml:space="preserve"> </w:t>
      </w:r>
      <w:r w:rsidRPr="00DA6556">
        <w:rPr>
          <w:i/>
        </w:rPr>
        <w:t>vencido</w:t>
      </w:r>
      <w:r>
        <w:rPr>
          <w:i/>
        </w:rPr>
        <w:t xml:space="preserve"> </w:t>
      </w:r>
      <w:r w:rsidRPr="00DA6556">
        <w:rPr>
          <w:i/>
        </w:rPr>
        <w:t>el</w:t>
      </w:r>
      <w:r>
        <w:rPr>
          <w:i/>
        </w:rPr>
        <w:t xml:space="preserve"> </w:t>
      </w:r>
      <w:r w:rsidRPr="00DA6556">
        <w:rPr>
          <w:i/>
        </w:rPr>
        <w:t>cual,</w:t>
      </w:r>
      <w:r>
        <w:rPr>
          <w:i/>
        </w:rPr>
        <w:t xml:space="preserve"> </w:t>
      </w:r>
      <w:r w:rsidRPr="00DA6556">
        <w:rPr>
          <w:i/>
        </w:rPr>
        <w:t>sin</w:t>
      </w:r>
      <w:r>
        <w:rPr>
          <w:i/>
        </w:rPr>
        <w:t xml:space="preserve"> </w:t>
      </w:r>
      <w:r w:rsidRPr="00DA6556">
        <w:rPr>
          <w:i/>
        </w:rPr>
        <w:t>que</w:t>
      </w:r>
      <w:r>
        <w:rPr>
          <w:i/>
        </w:rPr>
        <w:t xml:space="preserve"> </w:t>
      </w:r>
      <w:r w:rsidRPr="00DA6556">
        <w:rPr>
          <w:i/>
        </w:rPr>
        <w:t>se</w:t>
      </w:r>
      <w:r>
        <w:rPr>
          <w:i/>
        </w:rPr>
        <w:t xml:space="preserve"> </w:t>
      </w:r>
      <w:r w:rsidRPr="00DA6556">
        <w:rPr>
          <w:i/>
        </w:rPr>
        <w:t>cumpla</w:t>
      </w:r>
      <w:r>
        <w:rPr>
          <w:i/>
        </w:rPr>
        <w:t xml:space="preserve"> </w:t>
      </w:r>
      <w:r w:rsidRPr="00DA6556">
        <w:rPr>
          <w:i/>
        </w:rPr>
        <w:t>con</w:t>
      </w:r>
      <w:r>
        <w:rPr>
          <w:i/>
        </w:rPr>
        <w:t xml:space="preserve"> </w:t>
      </w:r>
      <w:r w:rsidRPr="00DA6556">
        <w:rPr>
          <w:i/>
        </w:rPr>
        <w:t>tal</w:t>
      </w:r>
      <w:r>
        <w:rPr>
          <w:i/>
        </w:rPr>
        <w:t xml:space="preserve"> </w:t>
      </w:r>
      <w:r w:rsidRPr="00DA6556">
        <w:rPr>
          <w:i/>
        </w:rPr>
        <w:t>deber,</w:t>
      </w:r>
      <w:r>
        <w:rPr>
          <w:i/>
        </w:rPr>
        <w:t xml:space="preserve"> </w:t>
      </w:r>
      <w:r w:rsidRPr="00DA6556">
        <w:rPr>
          <w:i/>
        </w:rPr>
        <w:t>el</w:t>
      </w:r>
      <w:r>
        <w:rPr>
          <w:i/>
        </w:rPr>
        <w:t xml:space="preserve"> </w:t>
      </w:r>
      <w:r w:rsidRPr="00DA6556">
        <w:rPr>
          <w:i/>
        </w:rPr>
        <w:t>revisor fiscal</w:t>
      </w:r>
      <w:r>
        <w:rPr>
          <w:i/>
        </w:rPr>
        <w:t xml:space="preserve"> </w:t>
      </w:r>
      <w:r w:rsidR="009D2E68" w:rsidRPr="00DA6556">
        <w:rPr>
          <w:i/>
        </w:rPr>
        <w:t>deberá</w:t>
      </w:r>
      <w:r>
        <w:rPr>
          <w:i/>
        </w:rPr>
        <w:t xml:space="preserve"> </w:t>
      </w:r>
      <w:r w:rsidRPr="00DA6556">
        <w:rPr>
          <w:i/>
        </w:rPr>
        <w:t>dar</w:t>
      </w:r>
      <w:r>
        <w:rPr>
          <w:i/>
        </w:rPr>
        <w:t xml:space="preserve"> </w:t>
      </w:r>
      <w:r w:rsidRPr="00DA6556">
        <w:rPr>
          <w:i/>
        </w:rPr>
        <w:t>aviso</w:t>
      </w:r>
      <w:r>
        <w:rPr>
          <w:i/>
        </w:rPr>
        <w:t xml:space="preserve"> </w:t>
      </w:r>
      <w:r w:rsidRPr="00DA6556">
        <w:rPr>
          <w:i/>
        </w:rPr>
        <w:t>a</w:t>
      </w:r>
      <w:r>
        <w:rPr>
          <w:i/>
        </w:rPr>
        <w:t xml:space="preserve"> </w:t>
      </w:r>
      <w:r w:rsidRPr="00DA6556">
        <w:rPr>
          <w:i/>
        </w:rPr>
        <w:t>la</w:t>
      </w:r>
      <w:r>
        <w:rPr>
          <w:i/>
        </w:rPr>
        <w:t xml:space="preserve"> </w:t>
      </w:r>
      <w:r w:rsidR="009D2E68" w:rsidRPr="00DA6556">
        <w:rPr>
          <w:i/>
        </w:rPr>
        <w:t>Cámara</w:t>
      </w:r>
      <w:r>
        <w:rPr>
          <w:i/>
        </w:rPr>
        <w:t xml:space="preserve"> </w:t>
      </w:r>
      <w:r w:rsidRPr="00DA6556">
        <w:rPr>
          <w:i/>
        </w:rPr>
        <w:t>de</w:t>
      </w:r>
      <w:r>
        <w:rPr>
          <w:i/>
        </w:rPr>
        <w:t xml:space="preserve"> </w:t>
      </w:r>
      <w:r w:rsidRPr="00DA6556">
        <w:rPr>
          <w:i/>
        </w:rPr>
        <w:t>Comercio</w:t>
      </w:r>
      <w:r>
        <w:rPr>
          <w:i/>
        </w:rPr>
        <w:t xml:space="preserve"> </w:t>
      </w:r>
      <w:r w:rsidRPr="00DA6556">
        <w:rPr>
          <w:i/>
        </w:rPr>
        <w:t>u</w:t>
      </w:r>
      <w:r>
        <w:rPr>
          <w:i/>
        </w:rPr>
        <w:t xml:space="preserve"> </w:t>
      </w:r>
      <w:r w:rsidR="009D2E68" w:rsidRPr="00DA6556">
        <w:rPr>
          <w:i/>
        </w:rPr>
        <w:t>Órgano</w:t>
      </w:r>
      <w:r>
        <w:rPr>
          <w:i/>
        </w:rPr>
        <w:t xml:space="preserve"> </w:t>
      </w:r>
      <w:r w:rsidRPr="00DA6556">
        <w:rPr>
          <w:i/>
        </w:rPr>
        <w:t>competente</w:t>
      </w:r>
      <w:r>
        <w:rPr>
          <w:i/>
        </w:rPr>
        <w:t xml:space="preserve"> </w:t>
      </w:r>
      <w:r w:rsidRPr="00DA6556">
        <w:rPr>
          <w:i/>
        </w:rPr>
        <w:t>respectivo,</w:t>
      </w:r>
      <w:r>
        <w:rPr>
          <w:i/>
        </w:rPr>
        <w:t xml:space="preserve"> </w:t>
      </w:r>
      <w:r w:rsidRPr="00DA6556">
        <w:rPr>
          <w:i/>
        </w:rPr>
        <w:t>para</w:t>
      </w:r>
      <w:r>
        <w:rPr>
          <w:i/>
        </w:rPr>
        <w:t xml:space="preserve"> </w:t>
      </w:r>
      <w:r w:rsidRPr="00DA6556">
        <w:rPr>
          <w:i/>
        </w:rPr>
        <w:t>que</w:t>
      </w:r>
      <w:r>
        <w:rPr>
          <w:i/>
        </w:rPr>
        <w:t xml:space="preserve"> </w:t>
      </w:r>
      <w:r w:rsidRPr="00DA6556">
        <w:rPr>
          <w:i/>
        </w:rPr>
        <w:t>su</w:t>
      </w:r>
      <w:r>
        <w:rPr>
          <w:i/>
        </w:rPr>
        <w:t xml:space="preserve"> </w:t>
      </w:r>
      <w:r w:rsidRPr="00DA6556">
        <w:rPr>
          <w:i/>
        </w:rPr>
        <w:t>retiro</w:t>
      </w:r>
      <w:r>
        <w:rPr>
          <w:i/>
        </w:rPr>
        <w:t xml:space="preserve"> </w:t>
      </w:r>
      <w:r w:rsidRPr="00DA6556">
        <w:rPr>
          <w:i/>
        </w:rPr>
        <w:t>sea inscrito</w:t>
      </w:r>
      <w:r>
        <w:rPr>
          <w:i/>
        </w:rPr>
        <w:t xml:space="preserve"> </w:t>
      </w:r>
      <w:r w:rsidRPr="00DA6556">
        <w:rPr>
          <w:i/>
        </w:rPr>
        <w:t>en</w:t>
      </w:r>
      <w:r>
        <w:rPr>
          <w:i/>
        </w:rPr>
        <w:t xml:space="preserve"> </w:t>
      </w:r>
      <w:r w:rsidRPr="00DA6556">
        <w:rPr>
          <w:i/>
        </w:rPr>
        <w:t>el</w:t>
      </w:r>
      <w:r>
        <w:rPr>
          <w:i/>
        </w:rPr>
        <w:t xml:space="preserve"> </w:t>
      </w:r>
      <w:r w:rsidRPr="00DA6556">
        <w:rPr>
          <w:i/>
        </w:rPr>
        <w:t>certificado</w:t>
      </w:r>
      <w:r>
        <w:rPr>
          <w:i/>
        </w:rPr>
        <w:t xml:space="preserve"> </w:t>
      </w:r>
      <w:r w:rsidRPr="00DA6556">
        <w:rPr>
          <w:i/>
        </w:rPr>
        <w:t>de</w:t>
      </w:r>
      <w:r>
        <w:rPr>
          <w:i/>
        </w:rPr>
        <w:t xml:space="preserve"> </w:t>
      </w:r>
      <w:r w:rsidRPr="00DA6556">
        <w:rPr>
          <w:i/>
        </w:rPr>
        <w:t>existencia</w:t>
      </w:r>
      <w:r>
        <w:rPr>
          <w:i/>
        </w:rPr>
        <w:t xml:space="preserve"> </w:t>
      </w:r>
      <w:r w:rsidRPr="00DA6556">
        <w:rPr>
          <w:i/>
        </w:rPr>
        <w:t>y</w:t>
      </w:r>
      <w:r>
        <w:rPr>
          <w:i/>
        </w:rPr>
        <w:t xml:space="preserve"> </w:t>
      </w:r>
      <w:r w:rsidR="009D2E68" w:rsidRPr="00DA6556">
        <w:rPr>
          <w:i/>
        </w:rPr>
        <w:t>representación</w:t>
      </w:r>
      <w:r>
        <w:rPr>
          <w:i/>
        </w:rPr>
        <w:t xml:space="preserve"> </w:t>
      </w:r>
      <w:r w:rsidRPr="00DA6556">
        <w:rPr>
          <w:i/>
        </w:rPr>
        <w:t>legal</w:t>
      </w:r>
      <w:r>
        <w:rPr>
          <w:i/>
        </w:rPr>
        <w:t xml:space="preserve"> </w:t>
      </w:r>
      <w:r w:rsidRPr="00DA6556">
        <w:rPr>
          <w:i/>
        </w:rPr>
        <w:t>de</w:t>
      </w:r>
      <w:r>
        <w:rPr>
          <w:i/>
        </w:rPr>
        <w:t xml:space="preserve"> </w:t>
      </w:r>
      <w:r w:rsidRPr="00DA6556">
        <w:rPr>
          <w:i/>
        </w:rPr>
        <w:t>la</w:t>
      </w:r>
      <w:r>
        <w:rPr>
          <w:i/>
        </w:rPr>
        <w:t xml:space="preserve"> </w:t>
      </w:r>
      <w:r w:rsidRPr="00DA6556">
        <w:rPr>
          <w:i/>
        </w:rPr>
        <w:t xml:space="preserve">sociedad. </w:t>
      </w:r>
      <w:r>
        <w:t>(…)”</w:t>
      </w:r>
      <w:r w:rsidR="009D2E68">
        <w:t>.</w:t>
      </w:r>
    </w:p>
    <w:p w14:paraId="0FA8A081" w14:textId="5A22C004" w:rsidR="009D2E68" w:rsidRDefault="009D2E68" w:rsidP="00DA6556">
      <w:r>
        <w:t xml:space="preserve">Es claro que el CTCP no leyó íntegramente la sentencia que citó. En esta se lee: “(…) </w:t>
      </w:r>
      <w:r w:rsidRPr="009D2E68">
        <w:rPr>
          <w:i/>
        </w:rPr>
        <w:t xml:space="preserve">(v) Si vencido el término de treinta días y mediando la comunicación del interesado a la Cámara de Comercio sobre la causa de su </w:t>
      </w:r>
      <w:r w:rsidRPr="009D2E68">
        <w:rPr>
          <w:i/>
        </w:rPr>
        <w:t>retiro no se produce y registra el nuevo nombramiento de quien reemplazará al representante legal o al revisor fiscal saliente, este seguirá figurando en el registro mercantil en calidad de tal, pero únicamente para efectos procesales, judiciales o administrativos, sin perjuicio de las acciones que pueda interponer en contra de la sociedad por los perjuicios que esta situación pueda irrogarle.</w:t>
      </w:r>
      <w:r>
        <w:t xml:space="preserve"> (…)”. Así las cosas, la Corte precisó que debe avisarse de la renuncia y que el contador seguirá inscrito como revisor, aunque sin responsabilidad por el ejercicio del cargo. La Corte no dispuso el retiro de la inscripción como lo </w:t>
      </w:r>
      <w:r w:rsidR="00F51C46">
        <w:t>dio a entender</w:t>
      </w:r>
      <w:r>
        <w:t xml:space="preserve"> el CTCP.</w:t>
      </w:r>
    </w:p>
    <w:p w14:paraId="3E7CA4BD" w14:textId="2A59ED4B" w:rsidR="009D2E68" w:rsidRDefault="009D2E68" w:rsidP="00DA6556">
      <w:r>
        <w:t>Por lo tanto, en el caso concreto la respectiva Cámara de Comercio actuó conforme la jurisprudencia, el profesional no tiene más que pedirle y la JCC no debe computar la revisoría en cuestión como si se estuviere ejerciendo.</w:t>
      </w:r>
    </w:p>
    <w:p w14:paraId="723D50A4" w14:textId="697942C8" w:rsidR="00EA421E" w:rsidRDefault="00EA421E" w:rsidP="00DA6556">
      <w:r>
        <w:t xml:space="preserve">La violación de la ley constituye una infracción que debe ser castigada. Pero la gravedad ética de sobrepasar el límite consagrado por el artículo 215 del Código de Comercio está lejos de ser siempre grave. En muchos casos será levísima. Recuérdese que sobre el aludido artículo la </w:t>
      </w:r>
      <w:hyperlink r:id="rId9" w:history="1">
        <w:r w:rsidRPr="00EA421E">
          <w:rPr>
            <w:rStyle w:val="Hipervnculo"/>
          </w:rPr>
          <w:t>Corte Suprema de Justicia</w:t>
        </w:r>
      </w:hyperlink>
      <w:r>
        <w:t xml:space="preserve"> explicó: “(…) </w:t>
      </w:r>
      <w:r w:rsidRPr="00EA421E">
        <w:rPr>
          <w:i/>
        </w:rPr>
        <w:t>Porque la limitación establecida, sin ir en detrimento de la libertad de trabajo, garantiza otro aspecto importante del problema, es a saber, la seguridad de las sociedades mediante un sistema razonable de trabajo por parte de los revisores fiscales</w:t>
      </w:r>
      <w:r>
        <w:t xml:space="preserve"> (…)”.</w:t>
      </w:r>
    </w:p>
    <w:p w14:paraId="6C03D33D" w14:textId="6C090F8E" w:rsidR="00EA421E" w:rsidRPr="00EA421E" w:rsidRDefault="00EA421E" w:rsidP="00EA421E">
      <w:pPr>
        <w:jc w:val="right"/>
        <w:rPr>
          <w:i/>
        </w:rPr>
      </w:pPr>
      <w:r w:rsidRPr="00EA421E">
        <w:rPr>
          <w:i/>
        </w:rPr>
        <w:t>Hernando Bermúdez Gómez</w:t>
      </w:r>
    </w:p>
    <w:sectPr w:rsidR="00EA421E" w:rsidRPr="00EA421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F75E" w14:textId="77777777" w:rsidR="008003F5" w:rsidRDefault="008003F5" w:rsidP="00EE7812">
      <w:pPr>
        <w:spacing w:after="0" w:line="240" w:lineRule="auto"/>
      </w:pPr>
      <w:r>
        <w:separator/>
      </w:r>
    </w:p>
  </w:endnote>
  <w:endnote w:type="continuationSeparator" w:id="0">
    <w:p w14:paraId="3D7CB9C2" w14:textId="77777777" w:rsidR="008003F5" w:rsidRDefault="008003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AB830" w14:textId="77777777" w:rsidR="008003F5" w:rsidRDefault="008003F5" w:rsidP="00EE7812">
      <w:pPr>
        <w:spacing w:after="0" w:line="240" w:lineRule="auto"/>
      </w:pPr>
      <w:r>
        <w:separator/>
      </w:r>
    </w:p>
  </w:footnote>
  <w:footnote w:type="continuationSeparator" w:id="0">
    <w:p w14:paraId="27EE81D8" w14:textId="77777777" w:rsidR="008003F5" w:rsidRDefault="008003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657208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F7CAB">
      <w:t>620</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8003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64"/>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3F5"/>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_pr00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jurisprudencia/09-08-19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E981-179A-4DDE-9122-3F72BAE9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2018-06-17T16:01:00Z</dcterms:created>
  <dcterms:modified xsi:type="dcterms:W3CDTF">2018-06-17T16:01:00Z</dcterms:modified>
</cp:coreProperties>
</file>