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D079B" w14:textId="491F353D" w:rsidR="00122A68" w:rsidRPr="00122A68" w:rsidRDefault="00122A68" w:rsidP="00122A6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22A68">
        <w:rPr>
          <w:position w:val="-9"/>
          <w:sz w:val="123"/>
        </w:rPr>
        <w:t>D</w:t>
      </w:r>
    </w:p>
    <w:p w14:paraId="3FFDE652" w14:textId="7D6683E9" w:rsidR="00D368B9" w:rsidRDefault="00122A68" w:rsidP="00D368B9">
      <w:r>
        <w:t>urante mucho tiempo en nuestra contabilidad, al reconocer una transacción, utilizamos el precio convenido por las partes del contrato respectivo.</w:t>
      </w:r>
      <w:r w:rsidR="00D368B9">
        <w:t xml:space="preserve"> </w:t>
      </w:r>
      <w:r>
        <w:t>Lamentablemente se observó que en ocasiones tal precio no correspondía al valor de mercado de los recursos involucrados.</w:t>
      </w:r>
      <w:r w:rsidR="003E2768">
        <w:t xml:space="preserve"> Algunos casos extremos son combatidos por el </w:t>
      </w:r>
      <w:hyperlink r:id="rId8" w:history="1">
        <w:r w:rsidR="003E2768" w:rsidRPr="003E2768">
          <w:rPr>
            <w:rStyle w:val="Hipervnculo"/>
          </w:rPr>
          <w:t>derecho civil</w:t>
        </w:r>
      </w:hyperlink>
      <w:r w:rsidR="003E2768">
        <w:t xml:space="preserve"> a través de la institución de la lesión enorme: “</w:t>
      </w:r>
      <w:r w:rsidR="003E2768" w:rsidRPr="003E2768">
        <w:rPr>
          <w:i/>
        </w:rPr>
        <w:t>ARTICULO 1947. CONCEPTO DE LESION ENORME. El vendedor sufre lesión enorme cuando el precio que recibe es inferior a la mitad del justo precio de la cosa que vende; y el comprador a su vez sufre lesión enorme, cuando el justo precio de la cosa que compra es inferior a la mitad del precio que paga por ella. ―El justo precio se refiere al tiempo del contrato</w:t>
      </w:r>
      <w:r w:rsidR="003E2768">
        <w:t xml:space="preserve">.”. En </w:t>
      </w:r>
      <w:hyperlink r:id="rId9" w:history="1">
        <w:r w:rsidR="003E2768" w:rsidRPr="00D368B9">
          <w:rPr>
            <w:rStyle w:val="Hipervnculo"/>
          </w:rPr>
          <w:t>materia comercial</w:t>
        </w:r>
      </w:hyperlink>
      <w:r w:rsidR="003E2768">
        <w:t xml:space="preserve"> otros casos pueden enfrentarse demostrando que el precio es irrisorio: “</w:t>
      </w:r>
      <w:r w:rsidR="003E2768" w:rsidRPr="003E2768">
        <w:rPr>
          <w:i/>
        </w:rPr>
        <w:t>ARTÍCULO 872. PRESTACIÓN IRRISORIA. Cuando la prestación de una de las partes sea irrisoria, no habrá contrato conmutativo</w:t>
      </w:r>
      <w:r w:rsidR="003E2768" w:rsidRPr="003E2768">
        <w:t>.</w:t>
      </w:r>
      <w:r w:rsidR="003E2768">
        <w:t>” “</w:t>
      </w:r>
      <w:r w:rsidR="003E2768" w:rsidRPr="003E2768">
        <w:rPr>
          <w:i/>
        </w:rPr>
        <w:t xml:space="preserve">ARTÍCULO 920. PRECIO. </w:t>
      </w:r>
      <w:r w:rsidR="00D368B9" w:rsidRPr="00D368B9">
        <w:t>[…]</w:t>
      </w:r>
      <w:r w:rsidR="003E2768" w:rsidRPr="003E2768">
        <w:rPr>
          <w:i/>
        </w:rPr>
        <w:t xml:space="preserve"> El precio irrisorio se tendrá por no pactado.</w:t>
      </w:r>
      <w:r w:rsidR="003E2768">
        <w:t xml:space="preserve">”. En </w:t>
      </w:r>
      <w:hyperlink r:id="rId10" w:history="1">
        <w:r w:rsidR="003E2768" w:rsidRPr="00D368B9">
          <w:rPr>
            <w:rStyle w:val="Hipervnculo"/>
          </w:rPr>
          <w:t>materia tributaria</w:t>
        </w:r>
      </w:hyperlink>
      <w:r w:rsidR="003E2768">
        <w:t>, la autoridad puede rechazar los precios que se aparten significativamente del mercado: “</w:t>
      </w:r>
      <w:r w:rsidR="003E2768" w:rsidRPr="00D368B9">
        <w:rPr>
          <w:i/>
        </w:rPr>
        <w:t xml:space="preserve">Artículo 90. DETERMINACIÓN DE LA RENTA BRUTA EN LA ENAJENACIÓN DE ACTIVOS […] </w:t>
      </w:r>
      <w:r w:rsidR="00D368B9" w:rsidRPr="00D368B9">
        <w:rPr>
          <w:i/>
        </w:rPr>
        <w:t xml:space="preserve">Cuando el valor asignado por las partes difiera notoriamente del comercial de los bienes en la fecha de su enajenación, conforme a lo dispuesto en este Artículo, el funcionario que esté adelantando el proceso de fiscalización, respectivo, puede rechazarlo para los efectos impositivos y señalar un precio de enajenación acorde con la naturaleza, condiciones y estado de los </w:t>
      </w:r>
      <w:r w:rsidR="00D368B9" w:rsidRPr="00D368B9">
        <w:rPr>
          <w:i/>
        </w:rPr>
        <w:t>activos; atendiendo a los datos estadísticos producidos por la Dirección General de Impuestos Nacionales, por el Departamento Administrativo Nacional de Estadística, por la Superintendencia de Industria y Comercio, por el Banco de la República u otras entidades afines. Su aplicación y discusión se hará dentro del mismo proceso. ―Se entiende que el valor asignado a las partes difiere notoriamente al promedio vigente, cuando se aparta en más de un veinticinco por ciento (25%) de los precios establecidos en el comercio para bienes de la misma especie y calidad, en la fecha de la enajenación, teniendo en cuenta la naturaleza, condiciones y estado de los activos</w:t>
      </w:r>
      <w:r w:rsidR="00D368B9">
        <w:t>.”. En el Marco de conceptos para los reportes financieros divulgado por IASB en marzo de 2018 se lee: “</w:t>
      </w:r>
      <w:r w:rsidR="00D368B9" w:rsidRPr="00D368B9">
        <w:rPr>
          <w:i/>
        </w:rPr>
        <w:t xml:space="preserve">6.82 </w:t>
      </w:r>
      <w:proofErr w:type="spellStart"/>
      <w:r w:rsidR="00D368B9" w:rsidRPr="00D368B9">
        <w:rPr>
          <w:i/>
        </w:rPr>
        <w:t>When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assets</w:t>
      </w:r>
      <w:proofErr w:type="spellEnd"/>
      <w:r w:rsidR="00D368B9" w:rsidRPr="00D368B9">
        <w:rPr>
          <w:i/>
        </w:rPr>
        <w:t xml:space="preserve"> are </w:t>
      </w:r>
      <w:proofErr w:type="spellStart"/>
      <w:r w:rsidR="00D368B9" w:rsidRPr="00D368B9">
        <w:rPr>
          <w:i/>
        </w:rPr>
        <w:t>acquired</w:t>
      </w:r>
      <w:proofErr w:type="spellEnd"/>
      <w:r w:rsidR="00D368B9" w:rsidRPr="00D368B9">
        <w:rPr>
          <w:i/>
        </w:rPr>
        <w:t xml:space="preserve">, </w:t>
      </w:r>
      <w:proofErr w:type="spellStart"/>
      <w:r w:rsidR="00D368B9" w:rsidRPr="00D368B9">
        <w:rPr>
          <w:i/>
        </w:rPr>
        <w:t>or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liabilities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incurred</w:t>
      </w:r>
      <w:proofErr w:type="spellEnd"/>
      <w:r w:rsidR="00D368B9" w:rsidRPr="00D368B9">
        <w:rPr>
          <w:i/>
        </w:rPr>
        <w:t xml:space="preserve">, as a </w:t>
      </w:r>
      <w:proofErr w:type="spellStart"/>
      <w:r w:rsidR="00D368B9" w:rsidRPr="00D368B9">
        <w:rPr>
          <w:i/>
        </w:rPr>
        <w:t>result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of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an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event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that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is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not</w:t>
      </w:r>
      <w:proofErr w:type="spellEnd"/>
      <w:r w:rsidR="00D368B9" w:rsidRPr="00D368B9">
        <w:rPr>
          <w:i/>
        </w:rPr>
        <w:t xml:space="preserve"> a </w:t>
      </w:r>
      <w:proofErr w:type="spellStart"/>
      <w:r w:rsidR="00D368B9" w:rsidRPr="00D368B9">
        <w:rPr>
          <w:i/>
        </w:rPr>
        <w:t>transaction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on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market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terms</w:t>
      </w:r>
      <w:proofErr w:type="spellEnd"/>
      <w:r w:rsidR="00D368B9" w:rsidRPr="00D368B9">
        <w:rPr>
          <w:i/>
        </w:rPr>
        <w:t xml:space="preserve">, </w:t>
      </w:r>
      <w:proofErr w:type="spellStart"/>
      <w:r w:rsidR="00D368B9" w:rsidRPr="00D368B9">
        <w:rPr>
          <w:i/>
        </w:rPr>
        <w:t>all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relevant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aspects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of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the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transaction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or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other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event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need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to</w:t>
      </w:r>
      <w:proofErr w:type="spellEnd"/>
      <w:r w:rsidR="00D368B9" w:rsidRPr="00D368B9">
        <w:rPr>
          <w:i/>
        </w:rPr>
        <w:t xml:space="preserve"> be </w:t>
      </w:r>
      <w:proofErr w:type="spellStart"/>
      <w:r w:rsidR="00D368B9" w:rsidRPr="00D368B9">
        <w:rPr>
          <w:i/>
        </w:rPr>
        <w:t>identified</w:t>
      </w:r>
      <w:proofErr w:type="spellEnd"/>
      <w:r w:rsidR="00D368B9" w:rsidRPr="00D368B9">
        <w:rPr>
          <w:i/>
        </w:rPr>
        <w:t xml:space="preserve"> and </w:t>
      </w:r>
      <w:proofErr w:type="spellStart"/>
      <w:r w:rsidR="00D368B9" w:rsidRPr="00D368B9">
        <w:rPr>
          <w:i/>
        </w:rPr>
        <w:t>considered</w:t>
      </w:r>
      <w:proofErr w:type="spellEnd"/>
      <w:r w:rsidR="00D368B9" w:rsidRPr="00D368B9">
        <w:rPr>
          <w:i/>
        </w:rPr>
        <w:t xml:space="preserve">. </w:t>
      </w:r>
      <w:proofErr w:type="spellStart"/>
      <w:r w:rsidR="00D368B9" w:rsidRPr="00D368B9">
        <w:rPr>
          <w:i/>
        </w:rPr>
        <w:t>For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example</w:t>
      </w:r>
      <w:proofErr w:type="spellEnd"/>
      <w:r w:rsidR="00D368B9" w:rsidRPr="00D368B9">
        <w:rPr>
          <w:i/>
        </w:rPr>
        <w:t xml:space="preserve">, </w:t>
      </w:r>
      <w:proofErr w:type="spellStart"/>
      <w:r w:rsidR="00D368B9" w:rsidRPr="00D368B9">
        <w:rPr>
          <w:i/>
        </w:rPr>
        <w:t>it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may</w:t>
      </w:r>
      <w:proofErr w:type="spellEnd"/>
      <w:r w:rsidR="00D368B9" w:rsidRPr="00D368B9">
        <w:rPr>
          <w:i/>
        </w:rPr>
        <w:t xml:space="preserve"> be </w:t>
      </w:r>
      <w:proofErr w:type="spellStart"/>
      <w:r w:rsidR="00D368B9" w:rsidRPr="00D368B9">
        <w:rPr>
          <w:i/>
        </w:rPr>
        <w:t>necessary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to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recognise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other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assets</w:t>
      </w:r>
      <w:proofErr w:type="spellEnd"/>
      <w:r w:rsidR="00D368B9" w:rsidRPr="00D368B9">
        <w:rPr>
          <w:i/>
        </w:rPr>
        <w:t xml:space="preserve">, </w:t>
      </w:r>
      <w:proofErr w:type="spellStart"/>
      <w:r w:rsidR="00D368B9" w:rsidRPr="00D368B9">
        <w:rPr>
          <w:i/>
        </w:rPr>
        <w:t>other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liabilities</w:t>
      </w:r>
      <w:proofErr w:type="spellEnd"/>
      <w:r w:rsidR="00D368B9" w:rsidRPr="00D368B9">
        <w:rPr>
          <w:i/>
        </w:rPr>
        <w:t xml:space="preserve">, </w:t>
      </w:r>
      <w:proofErr w:type="spellStart"/>
      <w:r w:rsidR="00D368B9" w:rsidRPr="00D368B9">
        <w:rPr>
          <w:i/>
        </w:rPr>
        <w:t>contributions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from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holders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of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equity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claims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or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distributions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to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holders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of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equity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claims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to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faithfully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represent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the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substance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of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the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effect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of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the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transaction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or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other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event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on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the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entity’s</w:t>
      </w:r>
      <w:proofErr w:type="spellEnd"/>
      <w:r w:rsidR="00D368B9" w:rsidRPr="00D368B9">
        <w:rPr>
          <w:i/>
        </w:rPr>
        <w:t xml:space="preserve"> financial position (</w:t>
      </w:r>
      <w:proofErr w:type="spellStart"/>
      <w:r w:rsidR="00D368B9" w:rsidRPr="00D368B9">
        <w:rPr>
          <w:i/>
        </w:rPr>
        <w:t>see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paragraphs</w:t>
      </w:r>
      <w:proofErr w:type="spellEnd"/>
      <w:r w:rsidR="00D368B9" w:rsidRPr="00D368B9">
        <w:rPr>
          <w:i/>
        </w:rPr>
        <w:t xml:space="preserve"> 4.59–4.62) and </w:t>
      </w:r>
      <w:proofErr w:type="spellStart"/>
      <w:r w:rsidR="00D368B9" w:rsidRPr="00D368B9">
        <w:rPr>
          <w:i/>
        </w:rPr>
        <w:t>any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related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effect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on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the</w:t>
      </w:r>
      <w:proofErr w:type="spellEnd"/>
      <w:r w:rsidR="00D368B9" w:rsidRPr="00D368B9">
        <w:rPr>
          <w:i/>
        </w:rPr>
        <w:t xml:space="preserve"> </w:t>
      </w:r>
      <w:proofErr w:type="spellStart"/>
      <w:r w:rsidR="00D368B9" w:rsidRPr="00D368B9">
        <w:rPr>
          <w:i/>
        </w:rPr>
        <w:t>entity’s</w:t>
      </w:r>
      <w:proofErr w:type="spellEnd"/>
      <w:r w:rsidR="00D368B9" w:rsidRPr="00D368B9">
        <w:rPr>
          <w:i/>
        </w:rPr>
        <w:t xml:space="preserve"> financial performance</w:t>
      </w:r>
      <w:r w:rsidR="00D368B9" w:rsidRPr="00D368B9">
        <w:t>.</w:t>
      </w:r>
      <w:r w:rsidR="00D368B9">
        <w:t>”</w:t>
      </w:r>
    </w:p>
    <w:p w14:paraId="60DF79FA" w14:textId="2A32613B" w:rsidR="00D368B9" w:rsidRDefault="00D368B9" w:rsidP="00D368B9">
      <w:r>
        <w:t>Así las cosas, en busca de la realidad económica, hoy en día, frente a cualquier transacción hay que reflexionar si los precios corresponden al mercado.</w:t>
      </w:r>
    </w:p>
    <w:p w14:paraId="69C8CE33" w14:textId="413956FF" w:rsidR="00D368B9" w:rsidRPr="00D368B9" w:rsidRDefault="00D368B9" w:rsidP="00D368B9">
      <w:pPr>
        <w:jc w:val="right"/>
        <w:rPr>
          <w:i/>
        </w:rPr>
      </w:pPr>
      <w:r w:rsidRPr="00D368B9">
        <w:rPr>
          <w:i/>
        </w:rPr>
        <w:t>Hernando Bermúdez Gómez</w:t>
      </w:r>
    </w:p>
    <w:sectPr w:rsidR="00D368B9" w:rsidRPr="00D368B9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4061D" w14:textId="77777777" w:rsidR="0009778E" w:rsidRDefault="0009778E" w:rsidP="00EE7812">
      <w:pPr>
        <w:spacing w:after="0" w:line="240" w:lineRule="auto"/>
      </w:pPr>
      <w:r>
        <w:separator/>
      </w:r>
    </w:p>
  </w:endnote>
  <w:endnote w:type="continuationSeparator" w:id="0">
    <w:p w14:paraId="0BB2E92C" w14:textId="77777777" w:rsidR="0009778E" w:rsidRDefault="0009778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08568" w14:textId="77777777" w:rsidR="0009778E" w:rsidRDefault="0009778E" w:rsidP="00EE7812">
      <w:pPr>
        <w:spacing w:after="0" w:line="240" w:lineRule="auto"/>
      </w:pPr>
      <w:r>
        <w:separator/>
      </w:r>
    </w:p>
  </w:footnote>
  <w:footnote w:type="continuationSeparator" w:id="0">
    <w:p w14:paraId="35E6DB9B" w14:textId="77777777" w:rsidR="0009778E" w:rsidRDefault="0009778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11DD1C37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C21992">
      <w:t>6</w:t>
    </w:r>
    <w:r w:rsidR="005A361B">
      <w:t>37</w:t>
    </w:r>
    <w:r w:rsidR="00BA1897">
      <w:t>,</w:t>
    </w:r>
    <w:r w:rsidR="00C5117D">
      <w:t xml:space="preserve"> </w:t>
    </w:r>
    <w:r w:rsidR="00505B6E">
      <w:t>junio</w:t>
    </w:r>
    <w:r w:rsidR="00C5117D">
      <w:t xml:space="preserve"> </w:t>
    </w:r>
    <w:r w:rsidR="006A1BAE">
      <w:t>25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09778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6"/>
  </w:num>
  <w:num w:numId="8">
    <w:abstractNumId w:val="15"/>
  </w:num>
  <w:num w:numId="9">
    <w:abstractNumId w:val="17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  <w:num w:numId="16">
    <w:abstractNumId w:val="4"/>
  </w:num>
  <w:num w:numId="17">
    <w:abstractNumId w:val="8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8F"/>
    <w:rsid w:val="00037327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8E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8A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08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EE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E4C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0E7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5EE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00E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395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caldiabogota.gov.co/sisjur/normas/Norma1.jsp?i=65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411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09BF-6C51-4F4C-8C1E-4034CE27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3374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2018-06-23T22:26:00Z</dcterms:created>
  <dcterms:modified xsi:type="dcterms:W3CDTF">2018-06-23T22:26:00Z</dcterms:modified>
</cp:coreProperties>
</file>