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5" w:rsidRPr="00BF5B35" w:rsidRDefault="00BF5B35" w:rsidP="00BF5B3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F5B35">
        <w:rPr>
          <w:rFonts w:cs="Calibri"/>
          <w:position w:val="-9"/>
          <w:sz w:val="123"/>
        </w:rPr>
        <w:t>E</w:t>
      </w:r>
    </w:p>
    <w:p w:rsidR="00DF718D" w:rsidRDefault="0055764D" w:rsidP="00F86435">
      <w:r>
        <w:t xml:space="preserve">n buena hora la </w:t>
      </w:r>
      <w:hyperlink r:id="rId9" w:history="1">
        <w:r w:rsidRPr="0055764D">
          <w:rPr>
            <w:rStyle w:val="Hipervnculo"/>
          </w:rPr>
          <w:t>Ley 1450 de 2011</w:t>
        </w:r>
      </w:hyperlink>
      <w:r>
        <w:t xml:space="preserve"> ha recalcado que el </w:t>
      </w:r>
      <w:r w:rsidRPr="0055764D">
        <w:t xml:space="preserve">esquema fijado en las Leyes </w:t>
      </w:r>
      <w:hyperlink r:id="rId10" w:history="1">
        <w:r w:rsidRPr="0055764D">
          <w:rPr>
            <w:rStyle w:val="Hipervnculo"/>
          </w:rPr>
          <w:t>298 de 1996</w:t>
        </w:r>
      </w:hyperlink>
      <w:r w:rsidRPr="0055764D">
        <w:t xml:space="preserve"> y </w:t>
      </w:r>
      <w:hyperlink r:id="rId11" w:history="1">
        <w:r w:rsidRPr="0055764D">
          <w:rPr>
            <w:rStyle w:val="Hipervnculo"/>
          </w:rPr>
          <w:t>1314 de 2009</w:t>
        </w:r>
      </w:hyperlink>
      <w:r w:rsidRPr="0055764D">
        <w:t xml:space="preserve"> distingue entre autoridades de regulación , supervisión y normalización técnica</w:t>
      </w:r>
      <w:r>
        <w:t>.</w:t>
      </w:r>
    </w:p>
    <w:p w:rsidR="00BF5B35" w:rsidRDefault="00BF5B35" w:rsidP="00BF5B35">
      <w:r>
        <w:t xml:space="preserve">Sin duda las mejores prácticas mundiales, como las reflejadas en la constitución, los estatutos y reglamentos de la Fundación </w:t>
      </w:r>
      <w:proofErr w:type="spellStart"/>
      <w:r w:rsidR="00FA4D12">
        <w:t>IFRS</w:t>
      </w:r>
      <w:proofErr w:type="spellEnd"/>
      <w:r>
        <w:t xml:space="preserve"> y de </w:t>
      </w:r>
      <w:proofErr w:type="spellStart"/>
      <w:r>
        <w:t>IFAC</w:t>
      </w:r>
      <w:proofErr w:type="spellEnd"/>
      <w:r>
        <w:t xml:space="preserve">, acogen una distinción semejante, que entroniza la autonomía técnica como un elemento esencial del sistema. Como se advirtió en el </w:t>
      </w:r>
      <w:hyperlink r:id="rId12" w:history="1">
        <w:r w:rsidRPr="001A16D7">
          <w:rPr>
            <w:rStyle w:val="Hipervnculo"/>
          </w:rPr>
          <w:t>trámite legislativo</w:t>
        </w:r>
      </w:hyperlink>
      <w:r>
        <w:t xml:space="preserve"> de la hoy Ley 1314, citada: “</w:t>
      </w:r>
      <w:r w:rsidRPr="00BF5B35">
        <w:rPr>
          <w:i/>
        </w:rPr>
        <w:t>De esta manera se separan las instancias técnicas de</w:t>
      </w:r>
      <w:r w:rsidRPr="00BF5B35">
        <w:rPr>
          <w:i/>
        </w:rPr>
        <w:t xml:space="preserve"> </w:t>
      </w:r>
      <w:r w:rsidRPr="00BF5B35">
        <w:rPr>
          <w:i/>
        </w:rPr>
        <w:t>las instancias políticas, logrando una mayor transparencia y facilitando</w:t>
      </w:r>
      <w:r w:rsidRPr="00BF5B35">
        <w:rPr>
          <w:i/>
        </w:rPr>
        <w:t xml:space="preserve"> </w:t>
      </w:r>
      <w:r w:rsidRPr="00BF5B35">
        <w:rPr>
          <w:i/>
        </w:rPr>
        <w:t>advertir eventuales problemas de neutralidad normativa</w:t>
      </w:r>
      <w:r w:rsidRPr="00BF5B35">
        <w:rPr>
          <w:i/>
        </w:rPr>
        <w:t>.</w:t>
      </w:r>
      <w:r>
        <w:t>”.</w:t>
      </w:r>
    </w:p>
    <w:p w:rsidR="001A16D7" w:rsidRDefault="001A16D7" w:rsidP="00BF5B35">
      <w:r>
        <w:t xml:space="preserve">La Ley 1314 de 2009 se ocupa de </w:t>
      </w:r>
      <w:r w:rsidR="00241F9A">
        <w:t>diferentes</w:t>
      </w:r>
      <w:r>
        <w:t xml:space="preserve"> clases de entidades, entre otras cosas</w:t>
      </w:r>
      <w:r w:rsidR="00241F9A">
        <w:t xml:space="preserve">, </w:t>
      </w:r>
      <w:r>
        <w:t xml:space="preserve">asignándoles </w:t>
      </w:r>
      <w:r w:rsidR="00241F9A">
        <w:t>diversas</w:t>
      </w:r>
      <w:r>
        <w:t xml:space="preserve"> funciones con relación al proceso de modernización del sistema contable. Véase, por ejemplo, los artículos 7, </w:t>
      </w:r>
      <w:r w:rsidR="00241F9A">
        <w:t xml:space="preserve">8, 9, </w:t>
      </w:r>
      <w:r>
        <w:t>10</w:t>
      </w:r>
      <w:r w:rsidR="00241F9A">
        <w:t xml:space="preserve">, </w:t>
      </w:r>
      <w:r>
        <w:t>12</w:t>
      </w:r>
      <w:r w:rsidR="00241F9A">
        <w:t xml:space="preserve"> y 16</w:t>
      </w:r>
      <w:r>
        <w:t xml:space="preserve"> de la Ley.</w:t>
      </w:r>
      <w:r w:rsidR="00241F9A">
        <w:t xml:space="preserve"> Así, pues cada cual tiene su propio rol.</w:t>
      </w:r>
    </w:p>
    <w:p w:rsidR="004343A1" w:rsidRDefault="004343A1" w:rsidP="004F5405">
      <w:r>
        <w:t>A estas alturas (</w:t>
      </w:r>
      <w:hyperlink r:id="rId13" w:history="1">
        <w:r w:rsidRPr="004343A1">
          <w:rPr>
            <w:rStyle w:val="Hipervnculo"/>
          </w:rPr>
          <w:t>a dos días de que la Ley 1314 de 2009 cumpla dos años de promulgada</w:t>
        </w:r>
      </w:hyperlink>
      <w:r>
        <w:t>) cabe preguntarse</w:t>
      </w:r>
      <w:r w:rsidR="00D4288E">
        <w:t>:</w:t>
      </w:r>
      <w:r>
        <w:t xml:space="preserve"> </w:t>
      </w:r>
      <w:r w:rsidR="00D4288E">
        <w:t>¿</w:t>
      </w:r>
      <w:r>
        <w:t>qué ha hech</w:t>
      </w:r>
      <w:r w:rsidR="00BC2B90">
        <w:t>o</w:t>
      </w:r>
      <w:r>
        <w:t xml:space="preserve"> cada una de esas entidades para cumplir sus funciones</w:t>
      </w:r>
      <w:r w:rsidR="00D4288E">
        <w:t>?</w:t>
      </w:r>
      <w:r w:rsidR="0059342E">
        <w:t xml:space="preserve"> </w:t>
      </w:r>
      <w:r>
        <w:t>Es muy difícil responder a esa pregunta, porque no existe un documento que consolide lo que hubiesen hecho.</w:t>
      </w:r>
      <w:r w:rsidR="00891088">
        <w:t xml:space="preserve"> </w:t>
      </w:r>
      <w:r>
        <w:t>No se tiene mayor noticia de las ejecutorias de los ministerios</w:t>
      </w:r>
      <w:r w:rsidR="00BC2B90">
        <w:t xml:space="preserve">, </w:t>
      </w:r>
      <w:r>
        <w:t xml:space="preserve">de las superintendencias </w:t>
      </w:r>
      <w:r w:rsidR="00BC2B90">
        <w:t xml:space="preserve">o de la Junta Central de Contadores </w:t>
      </w:r>
      <w:r>
        <w:t xml:space="preserve">en esta materia, salvo el cambio, aún no justificado públicamente, </w:t>
      </w:r>
      <w:r w:rsidR="004F5405">
        <w:t xml:space="preserve">que se introdujo al artículo transitorio de la Ley 1314. ¿Por qué se </w:t>
      </w:r>
      <w:r w:rsidR="004F5405">
        <w:lastRenderedPageBreak/>
        <w:t xml:space="preserve">decidió prohibir la entrada en vigencia de las </w:t>
      </w:r>
      <w:r w:rsidR="00FA4D12">
        <w:t>normas</w:t>
      </w:r>
      <w:r w:rsidR="004F5405">
        <w:t xml:space="preserve"> en preparación por l</w:t>
      </w:r>
      <w:r w:rsidR="004F5405">
        <w:t xml:space="preserve">as entidades que </w:t>
      </w:r>
      <w:r w:rsidR="004F5405">
        <w:t>han estado</w:t>
      </w:r>
      <w:r w:rsidR="004F5405">
        <w:t xml:space="preserve"> adelantando procesos de</w:t>
      </w:r>
      <w:r w:rsidR="004F5405">
        <w:t xml:space="preserve"> </w:t>
      </w:r>
      <w:r w:rsidR="004F5405">
        <w:t>convergencia con normas internacionales de contabilid</w:t>
      </w:r>
      <w:r w:rsidR="004F5405">
        <w:t>ad y de información financiera?</w:t>
      </w:r>
      <w:r w:rsidR="00FA4D12">
        <w:t xml:space="preserve"> ¿Qué argumentos e intereses provocaron el cambio de posición legislativa?</w:t>
      </w:r>
    </w:p>
    <w:p w:rsidR="00FA4D12" w:rsidRDefault="00FA4D12" w:rsidP="004F5405">
      <w:r>
        <w:t>Mientras en Colombia tenemos dificultad para saber qué se hace y por qué se hace, en el plano internacional evidenciamos otra cosa.</w:t>
      </w:r>
      <w:r w:rsidR="00891088">
        <w:t xml:space="preserve"> </w:t>
      </w:r>
      <w:r w:rsidR="008D224E">
        <w:t>Así, r</w:t>
      </w:r>
      <w:bookmarkStart w:id="0" w:name="_GoBack"/>
      <w:bookmarkEnd w:id="0"/>
      <w:r>
        <w:t xml:space="preserve">ecomendamos a todos los interesados en el proceso de convergencia leer el informe 2010 de la fundación </w:t>
      </w:r>
      <w:proofErr w:type="spellStart"/>
      <w:r>
        <w:t>IFRS</w:t>
      </w:r>
      <w:proofErr w:type="spellEnd"/>
      <w:r>
        <w:t xml:space="preserve">, publicado en tres partes, a saber: </w:t>
      </w:r>
    </w:p>
    <w:p w:rsidR="00621AFF" w:rsidRDefault="00621AFF" w:rsidP="004F5405">
      <w:hyperlink r:id="rId14" w:history="1">
        <w:proofErr w:type="spellStart"/>
        <w:r w:rsidRPr="00621AFF">
          <w:rPr>
            <w:rStyle w:val="Hipervnculo"/>
          </w:rPr>
          <w:t>Section</w:t>
        </w:r>
        <w:proofErr w:type="spellEnd"/>
        <w:r w:rsidRPr="00621AFF">
          <w:rPr>
            <w:rStyle w:val="Hipervnculo"/>
          </w:rPr>
          <w:t xml:space="preserve"> 1 of </w:t>
        </w:r>
        <w:proofErr w:type="spellStart"/>
        <w:r w:rsidRPr="00621AFF">
          <w:rPr>
            <w:rStyle w:val="Hipervnculo"/>
          </w:rPr>
          <w:t>the</w:t>
        </w:r>
        <w:proofErr w:type="spellEnd"/>
        <w:r w:rsidRPr="00621AFF">
          <w:rPr>
            <w:rStyle w:val="Hipervnculo"/>
          </w:rPr>
          <w:t xml:space="preserve"> 2010 </w:t>
        </w:r>
        <w:proofErr w:type="spellStart"/>
        <w:r w:rsidRPr="00621AFF">
          <w:rPr>
            <w:rStyle w:val="Hipervnculo"/>
          </w:rPr>
          <w:t>Annual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Report</w:t>
        </w:r>
        <w:proofErr w:type="spellEnd"/>
        <w:r w:rsidRPr="00621AFF">
          <w:rPr>
            <w:rStyle w:val="Hipervnculo"/>
          </w:rPr>
          <w:t xml:space="preserve"> - </w:t>
        </w:r>
        <w:proofErr w:type="spellStart"/>
        <w:r w:rsidRPr="00621AFF">
          <w:rPr>
            <w:rStyle w:val="Hipervnculo"/>
          </w:rPr>
          <w:t>Trustees</w:t>
        </w:r>
        <w:proofErr w:type="spellEnd"/>
        <w:r w:rsidRPr="00621AFF">
          <w:rPr>
            <w:rStyle w:val="Hipervnculo"/>
          </w:rPr>
          <w:t xml:space="preserve"> of </w:t>
        </w:r>
        <w:proofErr w:type="spellStart"/>
        <w:r w:rsidRPr="00621AFF">
          <w:rPr>
            <w:rStyle w:val="Hipervnculo"/>
          </w:rPr>
          <w:t>the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IFRS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Foundation</w:t>
        </w:r>
        <w:proofErr w:type="spellEnd"/>
        <w:r w:rsidRPr="00621AFF">
          <w:rPr>
            <w:rStyle w:val="Hipervnculo"/>
          </w:rPr>
          <w:t xml:space="preserve">: </w:t>
        </w:r>
        <w:proofErr w:type="spellStart"/>
        <w:r w:rsidRPr="00621AFF">
          <w:rPr>
            <w:rStyle w:val="Hipervnculo"/>
          </w:rPr>
          <w:t>Inspiring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confidence</w:t>
        </w:r>
        <w:proofErr w:type="spellEnd"/>
        <w:r w:rsidRPr="00621AFF">
          <w:rPr>
            <w:rStyle w:val="Hipervnculo"/>
          </w:rPr>
          <w:t xml:space="preserve"> and trust in </w:t>
        </w:r>
        <w:proofErr w:type="spellStart"/>
        <w:r w:rsidRPr="00621AFF">
          <w:rPr>
            <w:rStyle w:val="Hipervnculo"/>
          </w:rPr>
          <w:t>independent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standard</w:t>
        </w:r>
        <w:proofErr w:type="spellEnd"/>
        <w:r w:rsidRPr="00621AFF">
          <w:rPr>
            <w:rStyle w:val="Hipervnculo"/>
          </w:rPr>
          <w:t>-setter</w:t>
        </w:r>
      </w:hyperlink>
    </w:p>
    <w:p w:rsidR="00621AFF" w:rsidRDefault="00621AFF" w:rsidP="004F5405">
      <w:hyperlink r:id="rId15" w:history="1">
        <w:proofErr w:type="spellStart"/>
        <w:r w:rsidRPr="00621AFF">
          <w:rPr>
            <w:rStyle w:val="Hipervnculo"/>
          </w:rPr>
          <w:t>Section</w:t>
        </w:r>
        <w:proofErr w:type="spellEnd"/>
        <w:r w:rsidRPr="00621AFF">
          <w:rPr>
            <w:rStyle w:val="Hipervnculo"/>
          </w:rPr>
          <w:t xml:space="preserve"> 2 of </w:t>
        </w:r>
        <w:proofErr w:type="spellStart"/>
        <w:r w:rsidRPr="00621AFF">
          <w:rPr>
            <w:rStyle w:val="Hipervnculo"/>
          </w:rPr>
          <w:t>the</w:t>
        </w:r>
        <w:proofErr w:type="spellEnd"/>
        <w:r w:rsidRPr="00621AFF">
          <w:rPr>
            <w:rStyle w:val="Hipervnculo"/>
          </w:rPr>
          <w:t xml:space="preserve"> 2010 </w:t>
        </w:r>
        <w:proofErr w:type="spellStart"/>
        <w:r w:rsidRPr="00621AFF">
          <w:rPr>
            <w:rStyle w:val="Hipervnculo"/>
          </w:rPr>
          <w:t>Annual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Report</w:t>
        </w:r>
        <w:proofErr w:type="spellEnd"/>
        <w:r w:rsidRPr="00621AFF">
          <w:rPr>
            <w:rStyle w:val="Hipervnculo"/>
          </w:rPr>
          <w:t xml:space="preserve"> - </w:t>
        </w:r>
        <w:proofErr w:type="spellStart"/>
        <w:r w:rsidRPr="00621AFF">
          <w:rPr>
            <w:rStyle w:val="Hipervnculo"/>
          </w:rPr>
          <w:t>Activities</w:t>
        </w:r>
        <w:proofErr w:type="spellEnd"/>
        <w:r w:rsidRPr="00621AFF">
          <w:rPr>
            <w:rStyle w:val="Hipervnculo"/>
          </w:rPr>
          <w:t xml:space="preserve"> of </w:t>
        </w:r>
        <w:proofErr w:type="spellStart"/>
        <w:r w:rsidRPr="00621AFF">
          <w:rPr>
            <w:rStyle w:val="Hipervnculo"/>
          </w:rPr>
          <w:t>the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IFRS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Foundation</w:t>
        </w:r>
        <w:proofErr w:type="spellEnd"/>
        <w:r w:rsidRPr="00621AFF">
          <w:rPr>
            <w:rStyle w:val="Hipervnculo"/>
          </w:rPr>
          <w:t xml:space="preserve">: </w:t>
        </w:r>
        <w:proofErr w:type="spellStart"/>
        <w:r w:rsidRPr="00621AFF">
          <w:rPr>
            <w:rStyle w:val="Hipervnculo"/>
          </w:rPr>
          <w:t>Financial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reporting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for</w:t>
        </w:r>
        <w:proofErr w:type="spellEnd"/>
        <w:r w:rsidRPr="00621AFF">
          <w:rPr>
            <w:rStyle w:val="Hipervnculo"/>
          </w:rPr>
          <w:t xml:space="preserve"> global capital </w:t>
        </w:r>
        <w:proofErr w:type="spellStart"/>
        <w:r w:rsidRPr="00621AFF">
          <w:rPr>
            <w:rStyle w:val="Hipervnculo"/>
          </w:rPr>
          <w:t>markets</w:t>
        </w:r>
        <w:proofErr w:type="spellEnd"/>
      </w:hyperlink>
    </w:p>
    <w:p w:rsidR="00621AFF" w:rsidRDefault="00621AFF" w:rsidP="004F5405">
      <w:hyperlink r:id="rId16" w:history="1">
        <w:proofErr w:type="spellStart"/>
        <w:r w:rsidRPr="00621AFF">
          <w:rPr>
            <w:rStyle w:val="Hipervnculo"/>
          </w:rPr>
          <w:t>Section</w:t>
        </w:r>
        <w:proofErr w:type="spellEnd"/>
        <w:r w:rsidRPr="00621AFF">
          <w:rPr>
            <w:rStyle w:val="Hipervnculo"/>
          </w:rPr>
          <w:t xml:space="preserve"> 3 of </w:t>
        </w:r>
        <w:proofErr w:type="spellStart"/>
        <w:r w:rsidRPr="00621AFF">
          <w:rPr>
            <w:rStyle w:val="Hipervnculo"/>
          </w:rPr>
          <w:t>the</w:t>
        </w:r>
        <w:proofErr w:type="spellEnd"/>
        <w:r w:rsidRPr="00621AFF">
          <w:rPr>
            <w:rStyle w:val="Hipervnculo"/>
          </w:rPr>
          <w:t xml:space="preserve"> 2010 </w:t>
        </w:r>
        <w:proofErr w:type="spellStart"/>
        <w:r w:rsidRPr="00621AFF">
          <w:rPr>
            <w:rStyle w:val="Hipervnculo"/>
          </w:rPr>
          <w:t>Annual</w:t>
        </w:r>
        <w:proofErr w:type="spellEnd"/>
        <w:r w:rsidRPr="00621AFF">
          <w:rPr>
            <w:rStyle w:val="Hipervnculo"/>
          </w:rPr>
          <w:t xml:space="preserve"> </w:t>
        </w:r>
        <w:proofErr w:type="spellStart"/>
        <w:r w:rsidRPr="00621AFF">
          <w:rPr>
            <w:rStyle w:val="Hipervnculo"/>
          </w:rPr>
          <w:t>Report</w:t>
        </w:r>
        <w:proofErr w:type="spellEnd"/>
        <w:r w:rsidRPr="00621AFF">
          <w:rPr>
            <w:rStyle w:val="Hipervnculo"/>
          </w:rPr>
          <w:t xml:space="preserve"> - </w:t>
        </w:r>
        <w:proofErr w:type="spellStart"/>
        <w:r w:rsidRPr="00621AFF">
          <w:rPr>
            <w:rStyle w:val="Hipervnculo"/>
          </w:rPr>
          <w:t>Financials</w:t>
        </w:r>
        <w:proofErr w:type="spellEnd"/>
      </w:hyperlink>
    </w:p>
    <w:p w:rsidR="004F4B8F" w:rsidRDefault="004F4B8F" w:rsidP="004F5405">
      <w:r>
        <w:t xml:space="preserve">David </w:t>
      </w:r>
      <w:proofErr w:type="spellStart"/>
      <w:r>
        <w:t>Tweedie</w:t>
      </w:r>
      <w:proofErr w:type="spellEnd"/>
      <w:r>
        <w:t xml:space="preserve">, en su décimo y último informe como presidente de </w:t>
      </w:r>
      <w:proofErr w:type="spellStart"/>
      <w:r>
        <w:t>IFRS</w:t>
      </w:r>
      <w:proofErr w:type="spellEnd"/>
      <w:r>
        <w:t xml:space="preserve"> nos recuerda la importancia de un buen equipo</w:t>
      </w:r>
      <w:r w:rsidR="00897834">
        <w:t xml:space="preserve"> técnico (</w:t>
      </w:r>
      <w:proofErr w:type="spellStart"/>
      <w:r w:rsidR="00897834" w:rsidRPr="00897834">
        <w:t>Technical</w:t>
      </w:r>
      <w:proofErr w:type="spellEnd"/>
      <w:r w:rsidR="00897834" w:rsidRPr="00897834">
        <w:t xml:space="preserve"> </w:t>
      </w:r>
      <w:proofErr w:type="spellStart"/>
      <w:r w:rsidR="00897834" w:rsidRPr="00897834">
        <w:t>Activities</w:t>
      </w:r>
      <w:proofErr w:type="spellEnd"/>
      <w:r w:rsidR="00897834">
        <w:t xml:space="preserve">, </w:t>
      </w:r>
      <w:r w:rsidR="00897834" w:rsidRPr="00897834">
        <w:t xml:space="preserve">Capital </w:t>
      </w:r>
      <w:proofErr w:type="spellStart"/>
      <w:r w:rsidR="00897834" w:rsidRPr="00897834">
        <w:t>Markets</w:t>
      </w:r>
      <w:proofErr w:type="spellEnd"/>
      <w:r w:rsidR="00897834">
        <w:t xml:space="preserve">, </w:t>
      </w:r>
      <w:proofErr w:type="spellStart"/>
      <w:r w:rsidR="00897834" w:rsidRPr="00897834">
        <w:t>Research</w:t>
      </w:r>
      <w:proofErr w:type="spellEnd"/>
      <w:r w:rsidR="00897834">
        <w:t xml:space="preserve">, </w:t>
      </w:r>
      <w:proofErr w:type="spellStart"/>
      <w:r w:rsidR="00897834" w:rsidRPr="00897834">
        <w:t>Implementation</w:t>
      </w:r>
      <w:proofErr w:type="spellEnd"/>
      <w:r w:rsidR="00897834" w:rsidRPr="00897834">
        <w:t xml:space="preserve"> </w:t>
      </w:r>
      <w:proofErr w:type="spellStart"/>
      <w:r w:rsidR="00897834" w:rsidRPr="00897834">
        <w:t>Activities</w:t>
      </w:r>
      <w:proofErr w:type="spellEnd"/>
      <w:r w:rsidR="00897834">
        <w:t xml:space="preserve">, </w:t>
      </w:r>
      <w:r w:rsidR="00897834" w:rsidRPr="00897834">
        <w:t xml:space="preserve">International </w:t>
      </w:r>
      <w:proofErr w:type="spellStart"/>
      <w:r w:rsidR="00897834" w:rsidRPr="00897834">
        <w:t>Activities</w:t>
      </w:r>
      <w:proofErr w:type="spellEnd"/>
      <w:r w:rsidR="00891088">
        <w:t>) y un buen equipo administrativo (</w:t>
      </w:r>
      <w:proofErr w:type="spellStart"/>
      <w:r w:rsidR="00891088" w:rsidRPr="00891088">
        <w:t>Chief</w:t>
      </w:r>
      <w:proofErr w:type="spellEnd"/>
      <w:r w:rsidR="00891088" w:rsidRPr="00891088">
        <w:t xml:space="preserve"> </w:t>
      </w:r>
      <w:proofErr w:type="spellStart"/>
      <w:r w:rsidR="00891088" w:rsidRPr="00891088">
        <w:t>Operating</w:t>
      </w:r>
      <w:proofErr w:type="spellEnd"/>
      <w:r w:rsidR="00891088" w:rsidRPr="00891088">
        <w:t xml:space="preserve"> </w:t>
      </w:r>
      <w:proofErr w:type="spellStart"/>
      <w:r w:rsidR="00891088" w:rsidRPr="00891088">
        <w:t>Officer</w:t>
      </w:r>
      <w:proofErr w:type="spellEnd"/>
      <w:r w:rsidR="00891088">
        <w:t xml:space="preserve">, </w:t>
      </w:r>
      <w:proofErr w:type="spellStart"/>
      <w:r w:rsidR="00891088" w:rsidRPr="00891088">
        <w:t>Communications</w:t>
      </w:r>
      <w:proofErr w:type="spellEnd"/>
      <w:r w:rsidR="00891088">
        <w:t xml:space="preserve">, </w:t>
      </w:r>
      <w:proofErr w:type="spellStart"/>
      <w:r w:rsidR="00891088" w:rsidRPr="00891088">
        <w:t>Finance</w:t>
      </w:r>
      <w:proofErr w:type="spellEnd"/>
      <w:r w:rsidR="00891088" w:rsidRPr="00891088">
        <w:t xml:space="preserve"> and </w:t>
      </w:r>
      <w:proofErr w:type="spellStart"/>
      <w:r w:rsidR="00891088" w:rsidRPr="00891088">
        <w:t>Resources</w:t>
      </w:r>
      <w:proofErr w:type="spellEnd"/>
      <w:r w:rsidR="00891088">
        <w:t xml:space="preserve">, </w:t>
      </w:r>
      <w:proofErr w:type="spellStart"/>
      <w:r w:rsidR="00891088" w:rsidRPr="00891088">
        <w:t>IFRS</w:t>
      </w:r>
      <w:proofErr w:type="spellEnd"/>
      <w:r w:rsidR="00891088" w:rsidRPr="00891088">
        <w:t xml:space="preserve"> Content </w:t>
      </w:r>
      <w:proofErr w:type="spellStart"/>
      <w:r w:rsidR="00891088" w:rsidRPr="00891088">
        <w:t>Services</w:t>
      </w:r>
      <w:proofErr w:type="spellEnd"/>
      <w:r w:rsidR="00891088">
        <w:t xml:space="preserve">, </w:t>
      </w:r>
      <w:proofErr w:type="spellStart"/>
      <w:r w:rsidR="00891088" w:rsidRPr="00891088">
        <w:t>XBRL</w:t>
      </w:r>
      <w:proofErr w:type="spellEnd"/>
      <w:r w:rsidR="00891088" w:rsidRPr="00891088">
        <w:t xml:space="preserve"> </w:t>
      </w:r>
      <w:proofErr w:type="spellStart"/>
      <w:r w:rsidR="00891088" w:rsidRPr="00891088">
        <w:t>Activities</w:t>
      </w:r>
      <w:proofErr w:type="spellEnd"/>
      <w:r w:rsidR="00891088">
        <w:t xml:space="preserve">, </w:t>
      </w:r>
      <w:proofErr w:type="spellStart"/>
      <w:r w:rsidR="00891088" w:rsidRPr="00891088">
        <w:t>Education</w:t>
      </w:r>
      <w:proofErr w:type="spellEnd"/>
      <w:r w:rsidR="00891088" w:rsidRPr="00891088">
        <w:t xml:space="preserve"> </w:t>
      </w:r>
      <w:proofErr w:type="spellStart"/>
      <w:r w:rsidR="00891088" w:rsidRPr="00891088">
        <w:t>Initiative</w:t>
      </w:r>
      <w:proofErr w:type="spellEnd"/>
      <w:r w:rsidR="00891088">
        <w:t>).</w:t>
      </w:r>
      <w:r w:rsidR="0059342E">
        <w:t xml:space="preserve"> ¡Compárese con nuestra triste realidad!</w:t>
      </w:r>
    </w:p>
    <w:p w:rsidR="0059342E" w:rsidRPr="0059342E" w:rsidRDefault="0059342E" w:rsidP="0059342E">
      <w:pPr>
        <w:jc w:val="right"/>
        <w:rPr>
          <w:i/>
        </w:rPr>
      </w:pPr>
      <w:r w:rsidRPr="0059342E">
        <w:rPr>
          <w:i/>
        </w:rPr>
        <w:t>Hernando Bermúdez Gómez</w:t>
      </w:r>
    </w:p>
    <w:sectPr w:rsidR="0059342E" w:rsidRPr="0059342E" w:rsidSect="007F1D21">
      <w:head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81" w:rsidRDefault="00601381" w:rsidP="00EE7812">
      <w:pPr>
        <w:spacing w:after="0" w:line="240" w:lineRule="auto"/>
      </w:pPr>
      <w:r>
        <w:separator/>
      </w:r>
    </w:p>
  </w:endnote>
  <w:endnote w:type="continuationSeparator" w:id="0">
    <w:p w:rsidR="00601381" w:rsidRDefault="0060138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81" w:rsidRDefault="00601381" w:rsidP="00EE7812">
      <w:pPr>
        <w:spacing w:after="0" w:line="240" w:lineRule="auto"/>
      </w:pPr>
      <w:r>
        <w:separator/>
      </w:r>
    </w:p>
  </w:footnote>
  <w:footnote w:type="continuationSeparator" w:id="0">
    <w:p w:rsidR="00601381" w:rsidRDefault="0060138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41585F">
      <w:t>6</w:t>
    </w:r>
    <w:r w:rsidR="00F86435">
      <w:t>4</w:t>
    </w:r>
    <w:r w:rsidR="009D09BB">
      <w:t xml:space="preserve">, </w:t>
    </w:r>
    <w:r w:rsidR="00F264D6">
      <w:t>julio</w:t>
    </w:r>
    <w:r w:rsidR="00CD08C5">
      <w:t xml:space="preserve"> </w:t>
    </w:r>
    <w:r w:rsidR="004A033C">
      <w:t>11</w:t>
    </w:r>
    <w:r w:rsidR="0080786C">
      <w:t xml:space="preserve"> de 2011</w:t>
    </w:r>
  </w:p>
  <w:p w:rsidR="0046164F" w:rsidRDefault="0060138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16D7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1F9A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038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3A1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767"/>
    <w:rsid w:val="00496896"/>
    <w:rsid w:val="00497FC5"/>
    <w:rsid w:val="004A01CD"/>
    <w:rsid w:val="004A033C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B8F"/>
    <w:rsid w:val="004F4C31"/>
    <w:rsid w:val="004F5405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64D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42E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381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AFF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088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834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24E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150"/>
    <w:rsid w:val="00BC257C"/>
    <w:rsid w:val="00BC2B90"/>
    <w:rsid w:val="00BC33D6"/>
    <w:rsid w:val="00BC3F88"/>
    <w:rsid w:val="00BC45BD"/>
    <w:rsid w:val="00BC4954"/>
    <w:rsid w:val="00BC4B81"/>
    <w:rsid w:val="00BC4DCC"/>
    <w:rsid w:val="00BC5022"/>
    <w:rsid w:val="00BC53C6"/>
    <w:rsid w:val="00BC5A7B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B35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88E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210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35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4D12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(do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regulacioncontable/documentos/gaceta10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frs.org/NR/rdonlyres/168F2A0C-90F7-4594-9347-B140848D6033/0/2010_ARSec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rs.org/NR/rdonlyres/AEA40E33-FE7A-48B7-A76C-49C3B78E512F/0/2010_ARSec2.pdf" TargetMode="External"/><Relationship Id="rId10" Type="http://schemas.openxmlformats.org/officeDocument/2006/relationships/hyperlink" Target="http://www.javeriana.edu.co/personales/hbermude/leycontable/contadores/1996-ley-298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1-ley-1450.pdf" TargetMode="External"/><Relationship Id="rId14" Type="http://schemas.openxmlformats.org/officeDocument/2006/relationships/hyperlink" Target="http://www.ifrs.org/NR/rdonlyres/36615B30-FE20-4248-BFBE-CA779A250F66/0/2010_ARSec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2426-F4A1-46FD-80F6-19D768C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2011-07-11T15:59:00Z</dcterms:created>
  <dcterms:modified xsi:type="dcterms:W3CDTF">2011-07-11T16:43:00Z</dcterms:modified>
</cp:coreProperties>
</file>