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584F" w14:textId="6A616290" w:rsidR="002E688B" w:rsidRPr="002E688B" w:rsidRDefault="002E688B" w:rsidP="002E688B">
      <w:pPr>
        <w:keepNext/>
        <w:framePr w:dropCap="drop" w:lines="3" w:wrap="around" w:vAnchor="text" w:hAnchor="text"/>
        <w:spacing w:after="0" w:line="926" w:lineRule="exact"/>
        <w:textAlignment w:val="baseline"/>
        <w:rPr>
          <w:position w:val="-9"/>
          <w:sz w:val="123"/>
          <w:lang w:val="en-US"/>
        </w:rPr>
      </w:pPr>
      <w:bookmarkStart w:id="0" w:name="_GoBack"/>
      <w:bookmarkEnd w:id="0"/>
      <w:r w:rsidRPr="002E688B">
        <w:rPr>
          <w:position w:val="-9"/>
          <w:sz w:val="123"/>
          <w:lang w:val="en-US"/>
        </w:rPr>
        <w:t>E</w:t>
      </w:r>
    </w:p>
    <w:p w14:paraId="7AC70D85" w14:textId="61DD3066" w:rsidR="002E688B" w:rsidRDefault="00361E5C" w:rsidP="002E688B">
      <w:pPr>
        <w:rPr>
          <w:lang w:val="es-ES"/>
        </w:rPr>
      </w:pPr>
      <w:r w:rsidRPr="002E688B">
        <w:rPr>
          <w:lang w:val="en-US"/>
        </w:rPr>
        <w:t xml:space="preserve">l </w:t>
      </w:r>
      <w:hyperlink r:id="rId8" w:history="1">
        <w:proofErr w:type="spellStart"/>
        <w:r w:rsidRPr="002E688B">
          <w:rPr>
            <w:rStyle w:val="Hipervnculo"/>
            <w:lang w:val="en-US"/>
          </w:rPr>
          <w:t>borrador</w:t>
        </w:r>
        <w:proofErr w:type="spellEnd"/>
      </w:hyperlink>
      <w:r w:rsidRPr="002E688B">
        <w:rPr>
          <w:lang w:val="en-US"/>
        </w:rPr>
        <w:t xml:space="preserve"> </w:t>
      </w:r>
      <w:proofErr w:type="spellStart"/>
      <w:r w:rsidRPr="002E688B">
        <w:rPr>
          <w:lang w:val="en-US"/>
        </w:rPr>
        <w:t>e</w:t>
      </w:r>
      <w:r w:rsidR="002E688B">
        <w:rPr>
          <w:lang w:val="en-US"/>
        </w:rPr>
        <w:t>n</w:t>
      </w:r>
      <w:proofErr w:type="spellEnd"/>
      <w:r w:rsidRPr="002E688B">
        <w:rPr>
          <w:lang w:val="en-US"/>
        </w:rPr>
        <w:t xml:space="preserve"> </w:t>
      </w:r>
      <w:proofErr w:type="spellStart"/>
      <w:r w:rsidRPr="002E688B">
        <w:rPr>
          <w:lang w:val="en-US"/>
        </w:rPr>
        <w:t>estos</w:t>
      </w:r>
      <w:proofErr w:type="spellEnd"/>
      <w:r w:rsidRPr="002E688B">
        <w:rPr>
          <w:lang w:val="en-US"/>
        </w:rPr>
        <w:t xml:space="preserve"> </w:t>
      </w:r>
      <w:proofErr w:type="spellStart"/>
      <w:r w:rsidRPr="002E688B">
        <w:rPr>
          <w:lang w:val="en-US"/>
        </w:rPr>
        <w:t>momentos</w:t>
      </w:r>
      <w:proofErr w:type="spellEnd"/>
      <w:r w:rsidRPr="002E688B">
        <w:rPr>
          <w:lang w:val="en-US"/>
        </w:rPr>
        <w:t xml:space="preserve"> </w:t>
      </w:r>
      <w:proofErr w:type="spellStart"/>
      <w:r w:rsidRPr="002E688B">
        <w:rPr>
          <w:lang w:val="en-US"/>
        </w:rPr>
        <w:t>sometido</w:t>
      </w:r>
      <w:proofErr w:type="spellEnd"/>
      <w:r w:rsidRPr="002E688B">
        <w:rPr>
          <w:lang w:val="en-US"/>
        </w:rPr>
        <w:t xml:space="preserve"> a </w:t>
      </w:r>
      <w:proofErr w:type="spellStart"/>
      <w:r w:rsidRPr="002E688B">
        <w:rPr>
          <w:lang w:val="en-US"/>
        </w:rPr>
        <w:t>comentario</w:t>
      </w:r>
      <w:r w:rsidR="002E688B" w:rsidRPr="002E688B">
        <w:rPr>
          <w:lang w:val="en-US"/>
        </w:rPr>
        <w:t>s</w:t>
      </w:r>
      <w:proofErr w:type="spellEnd"/>
      <w:r w:rsidR="002E688B" w:rsidRPr="002E688B">
        <w:rPr>
          <w:lang w:val="en-US"/>
        </w:rPr>
        <w:t xml:space="preserve"> de la ISA 315, entre </w:t>
      </w:r>
      <w:proofErr w:type="spellStart"/>
      <w:r w:rsidR="002E688B" w:rsidRPr="002E688B">
        <w:rPr>
          <w:lang w:val="en-US"/>
        </w:rPr>
        <w:t>otras</w:t>
      </w:r>
      <w:proofErr w:type="spellEnd"/>
      <w:r w:rsidR="002E688B" w:rsidRPr="002E688B">
        <w:rPr>
          <w:lang w:val="en-US"/>
        </w:rPr>
        <w:t xml:space="preserve"> </w:t>
      </w:r>
      <w:proofErr w:type="spellStart"/>
      <w:r w:rsidR="002E688B" w:rsidRPr="002E688B">
        <w:rPr>
          <w:lang w:val="en-US"/>
        </w:rPr>
        <w:t>cosas</w:t>
      </w:r>
      <w:proofErr w:type="spellEnd"/>
      <w:r w:rsidR="002E688B" w:rsidRPr="002E688B">
        <w:rPr>
          <w:lang w:val="en-US"/>
        </w:rPr>
        <w:t>, dice: “</w:t>
      </w:r>
      <w:r w:rsidR="002E688B" w:rsidRPr="002E688B">
        <w:rPr>
          <w:i/>
          <w:lang w:val="en-US"/>
        </w:rPr>
        <w:t>Importantly, to modernize the proposed standard for changes in a continually evolving environment, revisions in particular have been made to: ―• Promote a deeper understanding of the entity’s business model and the risks that may arise from the application of the applicable financial reporting framework in the nature and circumstances of the entity and its environment; • Explicitly acknowledge how auditors may use automated tools and techniques, including data analytics, to perform risk assessment procedures; and • Enhance the auditor’s required understanding of the entity’s use of information technology (IT) relevant to financial reporting.</w:t>
      </w:r>
      <w:r w:rsidR="002E688B" w:rsidRPr="002E688B">
        <w:rPr>
          <w:lang w:val="en-US"/>
        </w:rPr>
        <w:t>”</w:t>
      </w:r>
      <w:r w:rsidR="00633E53">
        <w:rPr>
          <w:lang w:val="en-US"/>
        </w:rPr>
        <w:t xml:space="preserve"> </w:t>
      </w:r>
      <w:r w:rsidR="002E688B" w:rsidRPr="002E688B">
        <w:rPr>
          <w:lang w:val="es-ES"/>
        </w:rPr>
        <w:t xml:space="preserve">Está disponible una </w:t>
      </w:r>
      <w:hyperlink r:id="rId9" w:history="1">
        <w:r w:rsidR="002E688B" w:rsidRPr="002E688B">
          <w:rPr>
            <w:rStyle w:val="Hipervnculo"/>
            <w:lang w:val="es-ES"/>
          </w:rPr>
          <w:t>infografía</w:t>
        </w:r>
      </w:hyperlink>
      <w:r w:rsidR="002E688B" w:rsidRPr="002E688B">
        <w:rPr>
          <w:lang w:val="es-ES"/>
        </w:rPr>
        <w:t xml:space="preserve"> sobre l</w:t>
      </w:r>
      <w:r w:rsidR="002E688B">
        <w:rPr>
          <w:lang w:val="es-ES"/>
        </w:rPr>
        <w:t>a evaluación del control interno, que nos parece clara.</w:t>
      </w:r>
    </w:p>
    <w:p w14:paraId="4C1A2CE2" w14:textId="1F3C7A26" w:rsidR="002E688B" w:rsidRDefault="002E688B" w:rsidP="002E688B">
      <w:pPr>
        <w:rPr>
          <w:lang w:val="es-ES"/>
        </w:rPr>
      </w:pPr>
      <w:r>
        <w:rPr>
          <w:lang w:val="es-ES"/>
        </w:rPr>
        <w:t>Algunos contadores han sostenido que no hay criterios para realizar una auditoría sobre el control interno. Al hacerlo pasan por alto estas orientaciones de la ISA 315, que ahora se quieren profundizar.</w:t>
      </w:r>
    </w:p>
    <w:p w14:paraId="6E26D6E6" w14:textId="1118DC18" w:rsidR="003E3D84" w:rsidRDefault="003E3D84" w:rsidP="002E688B">
      <w:pPr>
        <w:rPr>
          <w:lang w:val="es-ES"/>
        </w:rPr>
      </w:pPr>
      <w:r>
        <w:rPr>
          <w:lang w:val="es-ES"/>
        </w:rPr>
        <w:t xml:space="preserve">Con base en los procedimientos desarrollados después de la puesta en vigencia del estándar, el IAASB sostuvo: “(…) </w:t>
      </w:r>
      <w:r w:rsidRPr="003E3D84">
        <w:rPr>
          <w:i/>
          <w:lang w:val="en-US"/>
        </w:rPr>
        <w:t>Findings with regard to ISA 315 (Revised) (extant ISA 315) suggested that reconsideration of the standard was needed as the comments received indicated that several aspects of the standard were not being understood or implemented in a consistent manner.</w:t>
      </w:r>
      <w:r>
        <w:rPr>
          <w:lang w:val="en-US"/>
        </w:rPr>
        <w:t xml:space="preserve"> </w:t>
      </w:r>
      <w:r w:rsidRPr="003E3D84">
        <w:rPr>
          <w:lang w:val="es-ES"/>
        </w:rPr>
        <w:t xml:space="preserve">(…)” En Colombia el CTCP no ha emprendido ningún esfuerzo </w:t>
      </w:r>
      <w:r w:rsidRPr="003E3D84">
        <w:rPr>
          <w:lang w:val="es-ES"/>
        </w:rPr>
        <w:t xml:space="preserve">encaminado a </w:t>
      </w:r>
      <w:r>
        <w:rPr>
          <w:lang w:val="es-ES"/>
        </w:rPr>
        <w:t xml:space="preserve">documentar la manera como en la realidad se están aplicando las normas de información financiera y las de aseguramiento. Parece que tampoco se han compendiado por dicho consejo o por la </w:t>
      </w:r>
      <w:r w:rsidRPr="003E3D84">
        <w:rPr>
          <w:lang w:val="es-ES"/>
        </w:rPr>
        <w:t>Comisión Intersectorial de Normas de Contabilidad, de Información Financiera y de Aseguramiento de la Información</w:t>
      </w:r>
      <w:r>
        <w:rPr>
          <w:lang w:val="es-ES"/>
        </w:rPr>
        <w:t xml:space="preserve"> las observaciones que hasta la fecha han hecho las distintas entidades de supervisión. </w:t>
      </w:r>
    </w:p>
    <w:p w14:paraId="01C047C9" w14:textId="17583B30" w:rsidR="003E3D84" w:rsidRDefault="00633E53" w:rsidP="00633E53">
      <w:pPr>
        <w:rPr>
          <w:lang w:val="es-ES"/>
        </w:rPr>
      </w:pPr>
      <w:r>
        <w:rPr>
          <w:lang w:val="es-ES"/>
        </w:rPr>
        <w:t>Se lee en el borrador: “</w:t>
      </w:r>
      <w:r w:rsidRPr="00633E53">
        <w:rPr>
          <w:i/>
          <w:lang w:val="es-ES"/>
        </w:rPr>
        <w:t xml:space="preserve">14. </w:t>
      </w:r>
      <w:r w:rsidRPr="00633E53">
        <w:rPr>
          <w:i/>
          <w:lang w:val="en-US"/>
        </w:rPr>
        <w:t xml:space="preserve">The IAASB is of the view that although size of the entity matters, the level of complexity </w:t>
      </w:r>
      <w:proofErr w:type="gramStart"/>
      <w:r w:rsidRPr="00633E53">
        <w:rPr>
          <w:i/>
          <w:lang w:val="en-US"/>
        </w:rPr>
        <w:t>in the nature of an</w:t>
      </w:r>
      <w:proofErr w:type="gramEnd"/>
      <w:r w:rsidRPr="00633E53">
        <w:rPr>
          <w:i/>
          <w:lang w:val="en-US"/>
        </w:rPr>
        <w:t xml:space="preserve"> entity and its financial reporting also drives scalability in the application of ED-315. Many small entities have complexities in their business model and their financial reporting processes and therefore auditors may be required to perform more robust or detailed risk assessments.</w:t>
      </w:r>
      <w:r>
        <w:rPr>
          <w:lang w:val="en-US"/>
        </w:rPr>
        <w:t xml:space="preserve">” </w:t>
      </w:r>
      <w:r w:rsidRPr="00633E53">
        <w:rPr>
          <w:lang w:val="es-ES"/>
        </w:rPr>
        <w:t>Como se ve, el tamaño no es el criterio decisor c</w:t>
      </w:r>
      <w:r>
        <w:rPr>
          <w:lang w:val="es-ES"/>
        </w:rPr>
        <w:t>uando se trata de evaluar el control interno, sino la complejidad de los procesos y de la información misma que debe divulgarse.</w:t>
      </w:r>
    </w:p>
    <w:p w14:paraId="2EE358DC" w14:textId="42924DB6" w:rsidR="00633E53" w:rsidRDefault="00633E53" w:rsidP="00633E53">
      <w:pPr>
        <w:rPr>
          <w:lang w:val="en-US"/>
        </w:rPr>
      </w:pPr>
      <w:r w:rsidRPr="00633E53">
        <w:rPr>
          <w:lang w:val="en-US"/>
        </w:rPr>
        <w:t xml:space="preserve">Las </w:t>
      </w:r>
      <w:proofErr w:type="spellStart"/>
      <w:r w:rsidRPr="00633E53">
        <w:rPr>
          <w:lang w:val="en-US"/>
        </w:rPr>
        <w:t>cosas</w:t>
      </w:r>
      <w:proofErr w:type="spellEnd"/>
      <w:r w:rsidRPr="00633E53">
        <w:rPr>
          <w:lang w:val="en-US"/>
        </w:rPr>
        <w:t xml:space="preserve"> </w:t>
      </w:r>
      <w:proofErr w:type="spellStart"/>
      <w:r w:rsidRPr="00633E53">
        <w:rPr>
          <w:lang w:val="en-US"/>
        </w:rPr>
        <w:t>han</w:t>
      </w:r>
      <w:proofErr w:type="spellEnd"/>
      <w:r w:rsidRPr="00633E53">
        <w:rPr>
          <w:lang w:val="en-US"/>
        </w:rPr>
        <w:t xml:space="preserve"> </w:t>
      </w:r>
      <w:proofErr w:type="spellStart"/>
      <w:r w:rsidRPr="00633E53">
        <w:rPr>
          <w:lang w:val="en-US"/>
        </w:rPr>
        <w:t>cambiado</w:t>
      </w:r>
      <w:proofErr w:type="spellEnd"/>
      <w:r w:rsidRPr="00633E53">
        <w:rPr>
          <w:lang w:val="en-US"/>
        </w:rPr>
        <w:t>: “</w:t>
      </w:r>
      <w:r w:rsidRPr="00633E53">
        <w:rPr>
          <w:i/>
          <w:lang w:val="en-US"/>
        </w:rPr>
        <w:t>Modernizing and Updating the ISA for an Evolving Business Environment ―18. Significant changes in, and the evolution and increasingly complex nature of, the economic, technological and regulatory aspects of the markets and environment in which entities and audit firms operate, and recent developments relating to internal control</w:t>
      </w:r>
      <w:r w:rsidRPr="00633E53">
        <w:rPr>
          <w:i/>
          <w:vertAlign w:val="superscript"/>
          <w:lang w:val="en-US"/>
        </w:rPr>
        <w:t>8</w:t>
      </w:r>
      <w:r w:rsidRPr="00633E53">
        <w:rPr>
          <w:i/>
          <w:lang w:val="en-US"/>
        </w:rPr>
        <w:t xml:space="preserve"> and other relevant frameworks, have necessitated proposed revisions to extant ISA 315</w:t>
      </w:r>
      <w:r w:rsidRPr="00633E53">
        <w:rPr>
          <w:lang w:val="en-US"/>
        </w:rPr>
        <w:t>.</w:t>
      </w:r>
      <w:r>
        <w:rPr>
          <w:lang w:val="en-US"/>
        </w:rPr>
        <w:t xml:space="preserve">” </w:t>
      </w:r>
      <w:proofErr w:type="spellStart"/>
      <w:r>
        <w:rPr>
          <w:lang w:val="en-US"/>
        </w:rPr>
        <w:t>Todos</w:t>
      </w:r>
      <w:proofErr w:type="spellEnd"/>
      <w:r>
        <w:rPr>
          <w:lang w:val="en-US"/>
        </w:rPr>
        <w:t xml:space="preserve"> </w:t>
      </w:r>
      <w:proofErr w:type="spellStart"/>
      <w:r>
        <w:rPr>
          <w:lang w:val="en-US"/>
        </w:rPr>
        <w:t>tenemos</w:t>
      </w:r>
      <w:proofErr w:type="spellEnd"/>
      <w:r>
        <w:rPr>
          <w:lang w:val="en-US"/>
        </w:rPr>
        <w:t xml:space="preserve"> que </w:t>
      </w:r>
      <w:proofErr w:type="spellStart"/>
      <w:r>
        <w:rPr>
          <w:lang w:val="en-US"/>
        </w:rPr>
        <w:t>estudiar</w:t>
      </w:r>
      <w:proofErr w:type="spellEnd"/>
      <w:r>
        <w:rPr>
          <w:lang w:val="en-US"/>
        </w:rPr>
        <w:t>.</w:t>
      </w:r>
    </w:p>
    <w:p w14:paraId="1EB75D8E" w14:textId="20E2ED7B" w:rsidR="00633E53" w:rsidRPr="00633E53" w:rsidRDefault="00633E53" w:rsidP="00633E53">
      <w:pPr>
        <w:jc w:val="right"/>
        <w:rPr>
          <w:i/>
          <w:lang w:val="en-US"/>
        </w:rPr>
      </w:pPr>
      <w:r w:rsidRPr="00633E53">
        <w:rPr>
          <w:i/>
          <w:lang w:val="en-US"/>
        </w:rPr>
        <w:t>Hernando Bermúdez Gómez</w:t>
      </w:r>
    </w:p>
    <w:sectPr w:rsidR="00633E53" w:rsidRPr="00633E5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1552D" w14:textId="77777777" w:rsidR="00581697" w:rsidRDefault="00581697" w:rsidP="00EE7812">
      <w:pPr>
        <w:spacing w:after="0" w:line="240" w:lineRule="auto"/>
      </w:pPr>
      <w:r>
        <w:separator/>
      </w:r>
    </w:p>
  </w:endnote>
  <w:endnote w:type="continuationSeparator" w:id="0">
    <w:p w14:paraId="547C6F42" w14:textId="77777777" w:rsidR="00581697" w:rsidRDefault="005816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DC06B" w14:textId="77777777" w:rsidR="00581697" w:rsidRDefault="00581697" w:rsidP="00EE7812">
      <w:pPr>
        <w:spacing w:after="0" w:line="240" w:lineRule="auto"/>
      </w:pPr>
      <w:r>
        <w:separator/>
      </w:r>
    </w:p>
  </w:footnote>
  <w:footnote w:type="continuationSeparator" w:id="0">
    <w:p w14:paraId="7014745F" w14:textId="77777777" w:rsidR="00581697" w:rsidRDefault="005816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3F975A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B31C38">
      <w:t>4</w:t>
    </w:r>
    <w:r w:rsidR="00142CD8">
      <w:t>1</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5816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41"/>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697"/>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8A"/>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styleId="Mencinsinresolver">
    <w:name w:val="Unresolved Mention"/>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system/files/publications/files/ISA-315-Revised-EM-Understanding-of-Internal-Control-flowchart-Ju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4767-904A-499F-9FB1-C57E3ADD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2018-08-12T00:09:00Z</dcterms:created>
  <dcterms:modified xsi:type="dcterms:W3CDTF">2018-08-12T00:09:00Z</dcterms:modified>
</cp:coreProperties>
</file>