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44FD" w14:textId="46D5777E" w:rsidR="00347B6D" w:rsidRPr="00347B6D" w:rsidRDefault="00347B6D" w:rsidP="00347B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347B6D">
        <w:rPr>
          <w:position w:val="-7"/>
          <w:sz w:val="121"/>
        </w:rPr>
        <w:t>U</w:t>
      </w:r>
    </w:p>
    <w:p w14:paraId="0BDD5D31" w14:textId="66847611" w:rsidR="00317CBC" w:rsidRDefault="00347B6D" w:rsidP="001A1F4C">
      <w:r>
        <w:t xml:space="preserve">na persona </w:t>
      </w:r>
      <w:hyperlink r:id="rId8" w:history="1">
        <w:r w:rsidRPr="00915311">
          <w:rPr>
            <w:rStyle w:val="Hipervnculo"/>
          </w:rPr>
          <w:t>dijo al Consejo Técnico de la Contaduría Pública</w:t>
        </w:r>
      </w:hyperlink>
      <w:r>
        <w:t>: “</w:t>
      </w:r>
      <w:r w:rsidRPr="00347B6D">
        <w:rPr>
          <w:i/>
        </w:rPr>
        <w:t>Me</w:t>
      </w:r>
      <w:r>
        <w:rPr>
          <w:i/>
        </w:rPr>
        <w:t xml:space="preserve"> </w:t>
      </w:r>
      <w:r w:rsidRPr="00347B6D">
        <w:rPr>
          <w:i/>
        </w:rPr>
        <w:t>podrían</w:t>
      </w:r>
      <w:r>
        <w:rPr>
          <w:i/>
        </w:rPr>
        <w:t xml:space="preserve"> </w:t>
      </w:r>
      <w:r w:rsidRPr="00347B6D">
        <w:rPr>
          <w:i/>
        </w:rPr>
        <w:t>informar</w:t>
      </w:r>
      <w:r>
        <w:rPr>
          <w:i/>
        </w:rPr>
        <w:t xml:space="preserve"> </w:t>
      </w:r>
      <w:r w:rsidRPr="00347B6D">
        <w:rPr>
          <w:i/>
        </w:rPr>
        <w:t>por</w:t>
      </w:r>
      <w:r>
        <w:rPr>
          <w:i/>
        </w:rPr>
        <w:t xml:space="preserve"> </w:t>
      </w:r>
      <w:r w:rsidRPr="00347B6D">
        <w:rPr>
          <w:i/>
        </w:rPr>
        <w:t>favor</w:t>
      </w:r>
      <w:r>
        <w:rPr>
          <w:i/>
        </w:rPr>
        <w:t xml:space="preserve"> </w:t>
      </w:r>
      <w:r w:rsidRPr="00347B6D">
        <w:rPr>
          <w:i/>
        </w:rPr>
        <w:t>si</w:t>
      </w:r>
      <w:r>
        <w:rPr>
          <w:i/>
        </w:rPr>
        <w:t xml:space="preserve"> </w:t>
      </w:r>
      <w:r w:rsidRPr="00347B6D">
        <w:rPr>
          <w:i/>
        </w:rPr>
        <w:t>un</w:t>
      </w:r>
      <w:r w:rsidR="00915311">
        <w:rPr>
          <w:i/>
        </w:rPr>
        <w:t>a</w:t>
      </w:r>
      <w:r>
        <w:rPr>
          <w:i/>
        </w:rPr>
        <w:t xml:space="preserve"> </w:t>
      </w:r>
      <w:r w:rsidRPr="00347B6D">
        <w:rPr>
          <w:i/>
        </w:rPr>
        <w:t>firma</w:t>
      </w:r>
      <w:r>
        <w:rPr>
          <w:i/>
        </w:rPr>
        <w:t xml:space="preserve"> </w:t>
      </w:r>
      <w:r w:rsidRPr="00347B6D">
        <w:rPr>
          <w:i/>
        </w:rPr>
        <w:t>de</w:t>
      </w:r>
      <w:r>
        <w:rPr>
          <w:i/>
        </w:rPr>
        <w:t xml:space="preserve"> </w:t>
      </w:r>
      <w:r w:rsidRPr="00347B6D">
        <w:rPr>
          <w:i/>
        </w:rPr>
        <w:t>contadores</w:t>
      </w:r>
      <w:r>
        <w:rPr>
          <w:i/>
        </w:rPr>
        <w:t xml:space="preserve"> </w:t>
      </w:r>
      <w:r w:rsidRPr="00347B6D">
        <w:rPr>
          <w:i/>
        </w:rPr>
        <w:t>públicos</w:t>
      </w:r>
      <w:r>
        <w:rPr>
          <w:i/>
        </w:rPr>
        <w:t xml:space="preserve"> </w:t>
      </w:r>
      <w:r w:rsidRPr="00347B6D">
        <w:rPr>
          <w:i/>
        </w:rPr>
        <w:t>puede</w:t>
      </w:r>
      <w:r>
        <w:rPr>
          <w:i/>
        </w:rPr>
        <w:t xml:space="preserve"> </w:t>
      </w:r>
      <w:r w:rsidRPr="00347B6D">
        <w:rPr>
          <w:i/>
        </w:rPr>
        <w:t>prestar</w:t>
      </w:r>
      <w:r>
        <w:rPr>
          <w:i/>
        </w:rPr>
        <w:t xml:space="preserve"> </w:t>
      </w:r>
      <w:r w:rsidRPr="00347B6D">
        <w:rPr>
          <w:i/>
        </w:rPr>
        <w:t>servicios</w:t>
      </w:r>
      <w:r>
        <w:rPr>
          <w:i/>
        </w:rPr>
        <w:t xml:space="preserve"> </w:t>
      </w:r>
      <w:r w:rsidRPr="00347B6D">
        <w:rPr>
          <w:i/>
        </w:rPr>
        <w:t>de</w:t>
      </w:r>
      <w:r>
        <w:rPr>
          <w:i/>
        </w:rPr>
        <w:t xml:space="preserve"> </w:t>
      </w:r>
      <w:r w:rsidRPr="00347B6D">
        <w:rPr>
          <w:i/>
        </w:rPr>
        <w:t>Contador y</w:t>
      </w:r>
      <w:r>
        <w:rPr>
          <w:i/>
        </w:rPr>
        <w:t xml:space="preserve"> </w:t>
      </w:r>
      <w:r w:rsidRPr="00347B6D">
        <w:rPr>
          <w:i/>
        </w:rPr>
        <w:t>Revisor</w:t>
      </w:r>
      <w:r>
        <w:rPr>
          <w:i/>
        </w:rPr>
        <w:t xml:space="preserve"> </w:t>
      </w:r>
      <w:r w:rsidRPr="00347B6D">
        <w:rPr>
          <w:i/>
        </w:rPr>
        <w:t>Fiscal.</w:t>
      </w:r>
      <w:r>
        <w:t xml:space="preserve">” Se le contestó: </w:t>
      </w:r>
      <w:r w:rsidRPr="00347B6D">
        <w:rPr>
          <w:i/>
        </w:rPr>
        <w:t>“(…) una sociedad de contadores públicos si puede prestar servicios de contador y revisor fiscal. Será su responsabilidad el evaluar la posibilidad de que se materialicen inhabilidades e incompatibilidades dentro de la prestación de su servicio, teniendo en cuenta lo establecido en el artículo 205 del Código de Comercio</w:t>
      </w:r>
      <w:r>
        <w:t xml:space="preserve"> (…)”</w:t>
      </w:r>
    </w:p>
    <w:p w14:paraId="75C59670" w14:textId="5C4F68F3" w:rsidR="00915311" w:rsidRDefault="00347B6D" w:rsidP="001A1F4C">
      <w:r>
        <w:t xml:space="preserve">La respuesta exacta hubiera sido que una firma de contadores puede actuar como contador y como revisor fiscal en entidades independientes. No puede prestar ambos servicios a una misma entidad, pues el artículo 12 de la </w:t>
      </w:r>
      <w:hyperlink r:id="rId9" w:history="1">
        <w:r w:rsidRPr="00347B6D">
          <w:rPr>
            <w:rStyle w:val="Hipervnculo"/>
          </w:rPr>
          <w:t>Ley 145 de 1960</w:t>
        </w:r>
      </w:hyperlink>
      <w:r>
        <w:t xml:space="preserve"> dispone “(…) </w:t>
      </w:r>
      <w:r w:rsidRPr="00347B6D">
        <w:rPr>
          <w:i/>
        </w:rPr>
        <w:t>no podrán encargarse, en ningún caso, de la revisoría, auditoría o interventoría de cuentas de las sociedades o instituciones en las cuales alguno de los afiliados a tales firmas u organizaciones sea ocasional o permanentemente contador, cajero o administrador</w:t>
      </w:r>
      <w:r w:rsidRPr="00347B6D">
        <w:t>.</w:t>
      </w:r>
      <w:r>
        <w:t>”</w:t>
      </w:r>
      <w:r w:rsidR="00156180">
        <w:t xml:space="preserve">. </w:t>
      </w:r>
      <w:r>
        <w:t>Si una misma firma pretende preparar estados financieros y auditarlos se encontrará de lado a lado ante el riesgo de auto revisión, que no podrá reducir mediante salvaguarda alguna.</w:t>
      </w:r>
      <w:r w:rsidR="001A1D94">
        <w:t xml:space="preserve"> La posibilidad de que el público piense que la auditoría se ha realizado objetivamente es muy baja, pues se entenderá que no se cuestiona el trabajo de los compañeros.</w:t>
      </w:r>
      <w:r w:rsidR="00156180">
        <w:t xml:space="preserve"> </w:t>
      </w:r>
      <w:r w:rsidR="00915311">
        <w:t xml:space="preserve">El régimen de los revisores fiscales se compone tanto de las normas que lo mencionan como de todas aquellas que versan sobre los contadores públicos, puesto que el auditor </w:t>
      </w:r>
      <w:r w:rsidR="00915311">
        <w:t>estatutario necesariamente debe tener esta profesión.</w:t>
      </w:r>
    </w:p>
    <w:p w14:paraId="77049BC2" w14:textId="2B93EA81" w:rsidR="00915311" w:rsidRDefault="00B70168" w:rsidP="001A1F4C">
      <w:r>
        <w:t>En la vida real hay muchas empresas que tienen auxiliares preparando la contabilidad, la que es aprobada y dictaminada por un revisor fiscal. En estos casos el revisor es el verdadero contador a cargo del sistema de información y está actuando contra el código de ética, pues no tiene ni exhibe independencia.</w:t>
      </w:r>
    </w:p>
    <w:p w14:paraId="64982AB5" w14:textId="02881F46" w:rsidR="00B70168" w:rsidRDefault="00D16B21" w:rsidP="001A1F4C">
      <w:r>
        <w:t xml:space="preserve">Son varios los casos en los que los contadores encargados de llevar la contabilidad, se convierten en revisores fiscales de un momento a otro, para satisfacer las exigencias del artículo 13 de la </w:t>
      </w:r>
      <w:hyperlink r:id="rId10" w:history="1">
        <w:r w:rsidRPr="00D16B21">
          <w:rPr>
            <w:rStyle w:val="Hipervnculo"/>
          </w:rPr>
          <w:t>Ley 43 de 1990</w:t>
        </w:r>
      </w:hyperlink>
      <w:r>
        <w:t xml:space="preserve"> (cuando los </w:t>
      </w:r>
      <w:r w:rsidRPr="00D16B21">
        <w:t>activos brutos al 31 de diciembre del año inmediatamente anterior sean o excedan el equivalente de cinco mil salarios mínimos y/o cuyos ingresos brutos durante el año inmediatamente anterior sean o excedan al equivalente a tres mil salarios mínimos</w:t>
      </w:r>
      <w:r>
        <w:t xml:space="preserve">). Incurren en pérdida de independencia y, además, infringen el artículo </w:t>
      </w:r>
      <w:r w:rsidR="002475D5">
        <w:t>51 de la Ley 43 citada.</w:t>
      </w:r>
    </w:p>
    <w:p w14:paraId="3B2484D7" w14:textId="0384F9EF" w:rsidR="002475D5" w:rsidRDefault="002475D5" w:rsidP="001A1F4C">
      <w:r>
        <w:t>Estas prohibiciones no desaparecen por el hecho de recurrir a funcionarios de otras firmas pertenecientes a la misma red.</w:t>
      </w:r>
      <w:r w:rsidR="00156180">
        <w:t xml:space="preserve"> El reglamento de nuestro código de ética establece: “</w:t>
      </w:r>
      <w:r w:rsidR="00156180" w:rsidRPr="00156180">
        <w:rPr>
          <w:i/>
        </w:rPr>
        <w:t xml:space="preserve">220.8 Si la firma pertenece a una red, la identificación de conflictos incluirá cualquier conflicto de intereses que el profesional de la contabilidad en ejercicio tenga motivos para pensar que existe o que se puede originar debido a intereses o relaciones de una firma de la red. </w:t>
      </w:r>
      <w:r w:rsidR="00156180">
        <w:t>(…)”</w:t>
      </w:r>
    </w:p>
    <w:p w14:paraId="6C2009BC" w14:textId="1B78FBB5" w:rsidR="00156180" w:rsidRPr="00156180" w:rsidRDefault="00156180" w:rsidP="00156180">
      <w:pPr>
        <w:jc w:val="right"/>
        <w:rPr>
          <w:i/>
        </w:rPr>
      </w:pPr>
      <w:r w:rsidRPr="00156180">
        <w:rPr>
          <w:i/>
        </w:rPr>
        <w:t>Hernando Bermúdez Gómez</w:t>
      </w:r>
    </w:p>
    <w:sectPr w:rsidR="00156180" w:rsidRPr="00156180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F92D" w14:textId="77777777" w:rsidR="000C39C3" w:rsidRDefault="000C39C3" w:rsidP="00EE7812">
      <w:pPr>
        <w:spacing w:after="0" w:line="240" w:lineRule="auto"/>
      </w:pPr>
      <w:r>
        <w:separator/>
      </w:r>
    </w:p>
  </w:endnote>
  <w:endnote w:type="continuationSeparator" w:id="0">
    <w:p w14:paraId="112DCEBC" w14:textId="77777777" w:rsidR="000C39C3" w:rsidRDefault="000C39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71E4" w14:textId="77777777" w:rsidR="000C39C3" w:rsidRDefault="000C39C3" w:rsidP="00EE7812">
      <w:pPr>
        <w:spacing w:after="0" w:line="240" w:lineRule="auto"/>
      </w:pPr>
      <w:r>
        <w:separator/>
      </w:r>
    </w:p>
  </w:footnote>
  <w:footnote w:type="continuationSeparator" w:id="0">
    <w:p w14:paraId="0990407A" w14:textId="77777777" w:rsidR="000C39C3" w:rsidRDefault="000C39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0FCD9A1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DF1F01">
      <w:t>8</w:t>
    </w:r>
    <w:r w:rsidR="001A1F4C">
      <w:t>7</w:t>
    </w:r>
    <w:r w:rsidR="00BA1897">
      <w:t>,</w:t>
    </w:r>
    <w:r w:rsidR="00C5117D">
      <w:t xml:space="preserve"> </w:t>
    </w:r>
    <w:r w:rsidR="004B5309">
      <w:t>septiembre 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0C39C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9C3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8F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2488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in-juriscol.gov.co/viewDocument.asp?ruta=Leyes/159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506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7095-6ABE-4400-99A4-5238FDC4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2018-09-02T18:44:00Z</dcterms:created>
  <dcterms:modified xsi:type="dcterms:W3CDTF">2018-09-02T18:44:00Z</dcterms:modified>
</cp:coreProperties>
</file>