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BCFE" w14:textId="0B73B705" w:rsidR="00DF1F66" w:rsidRPr="00DF1F66" w:rsidRDefault="00DF1F66" w:rsidP="00DF1F6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F1F66">
        <w:rPr>
          <w:position w:val="-9"/>
          <w:sz w:val="123"/>
        </w:rPr>
        <w:t>E</w:t>
      </w:r>
    </w:p>
    <w:p w14:paraId="35CE24B4" w14:textId="6E164828" w:rsidR="0076475E" w:rsidRDefault="00DF1F66" w:rsidP="00DF1F66">
      <w:r>
        <w:t xml:space="preserve">n su reciente propuesta, el </w:t>
      </w:r>
      <w:hyperlink r:id="rId8" w:history="1">
        <w:r w:rsidRPr="00DF1F66">
          <w:rPr>
            <w:rStyle w:val="Hipervnculo"/>
          </w:rPr>
          <w:t>Consejo Técnico de la Contaduría Pública</w:t>
        </w:r>
      </w:hyperlink>
      <w:r>
        <w:t xml:space="preserve"> hizo la “</w:t>
      </w:r>
      <w:r w:rsidRPr="00DF1F66">
        <w:rPr>
          <w:i/>
        </w:rPr>
        <w:t>Propuesta de modificación, Incorporación de un parágrafo al artículo 5 del Decreto 302 de 2015, que se encuentra compilado en el Anexo N° 4 del Decreto 2420 de 2015 y sus modificatorios</w:t>
      </w:r>
      <w:r>
        <w:t>”.</w:t>
      </w:r>
    </w:p>
    <w:p w14:paraId="67DB2BD4" w14:textId="7FA2FCDA" w:rsidR="00DF1F66" w:rsidRDefault="00DF1F66" w:rsidP="00DF1F66">
      <w:r>
        <w:t>Ya algunos han preguntado si</w:t>
      </w:r>
      <w:r w:rsidR="00A4452F">
        <w:t xml:space="preserve"> </w:t>
      </w:r>
      <w:r>
        <w:t>se debe modificar un solo decreto</w:t>
      </w:r>
      <w:r w:rsidR="00A4452F">
        <w:t xml:space="preserve"> (el </w:t>
      </w:r>
      <w:hyperlink r:id="rId9" w:history="1">
        <w:r w:rsidR="00A4452F" w:rsidRPr="00CB453E">
          <w:rPr>
            <w:rStyle w:val="Hipervnculo"/>
          </w:rPr>
          <w:t>302</w:t>
        </w:r>
      </w:hyperlink>
      <w:r w:rsidR="00A4452F">
        <w:t>)</w:t>
      </w:r>
      <w:r>
        <w:t xml:space="preserve"> o dos</w:t>
      </w:r>
      <w:r w:rsidR="00A4452F">
        <w:t xml:space="preserve"> (el 302 y </w:t>
      </w:r>
      <w:hyperlink r:id="rId10" w:history="1">
        <w:r w:rsidR="00A4452F" w:rsidRPr="00CB453E">
          <w:rPr>
            <w:rStyle w:val="Hipervnculo"/>
          </w:rPr>
          <w:t>2420</w:t>
        </w:r>
      </w:hyperlink>
      <w:r w:rsidR="00A4452F">
        <w:t>)</w:t>
      </w:r>
      <w:r>
        <w:t xml:space="preserve">. </w:t>
      </w:r>
    </w:p>
    <w:p w14:paraId="463E68E9" w14:textId="58006424" w:rsidR="00A4452F" w:rsidRDefault="00A4452F" w:rsidP="00DF1F66">
      <w:r>
        <w:t xml:space="preserve">Con solo leer los considerandos del decreto único reglamentario se advierte: “(…) </w:t>
      </w:r>
      <w:r w:rsidRPr="00A4452F">
        <w:rPr>
          <w:i/>
        </w:rPr>
        <w:t>Que, con el objetivo de compilar y racionalizar normas de carácter reglamentario, expedidas en desarrollo de Ley 1314 2009, que rigen en materia de contabilidad, información financiera y aseguramiento de la información y contar con un instrumento jurídico único, se necesario expedir el presente Decreto Único Reglamentario sobre estas materias</w:t>
      </w:r>
      <w:r>
        <w:t xml:space="preserve"> (…)”.</w:t>
      </w:r>
    </w:p>
    <w:p w14:paraId="220E8D60" w14:textId="78D4C3BA" w:rsidR="00A4452F" w:rsidRDefault="00A4452F" w:rsidP="00DF1F66">
      <w:r>
        <w:t xml:space="preserve">Considerar que subsiste el Decreto </w:t>
      </w:r>
      <w:r w:rsidR="009C61F3">
        <w:t xml:space="preserve">reglamentario </w:t>
      </w:r>
      <w:r>
        <w:t xml:space="preserve">302 </w:t>
      </w:r>
      <w:r w:rsidR="00CB453E">
        <w:t>es dejar sin efecto la intención de contar con un instrumento único, tal como se anuncia en el título de la disposición.</w:t>
      </w:r>
    </w:p>
    <w:p w14:paraId="33A9ED3F" w14:textId="0E776619" w:rsidR="009C61F3" w:rsidRDefault="009C61F3" w:rsidP="009C61F3">
      <w:r>
        <w:t>Consecuente con esa decisión, al final del Decreto reglamentario 2420 de 2015 se lee: “</w:t>
      </w:r>
      <w:r w:rsidRPr="009C61F3">
        <w:rPr>
          <w:i/>
        </w:rPr>
        <w:t>Articulo 2.1.1. Derogatoria Integral. Este Decreto regula íntegramente las materias contenidas en él. Por consiguiente, de conformidad con artículo 3 de la ley 153 de 1887, quedan derogadas todas disposiciones naturaleza reglamentaria que versan sobre las mismas materias, con excepción, exclusiva, de los siguientes asuntos:</w:t>
      </w:r>
      <w:r>
        <w:t xml:space="preserve"> (…)”</w:t>
      </w:r>
    </w:p>
    <w:p w14:paraId="15947ACB" w14:textId="7DD6ECA3" w:rsidR="009C61F3" w:rsidRDefault="009C61F3" w:rsidP="009C61F3">
      <w:bookmarkStart w:id="0" w:name="_GoBack"/>
      <w:r>
        <w:t>Es decir: el Decreto reglamentario 302 ya no existe</w:t>
      </w:r>
      <w:bookmarkEnd w:id="0"/>
      <w:r>
        <w:t>.</w:t>
      </w:r>
    </w:p>
    <w:p w14:paraId="39412F6A" w14:textId="1A3544C8" w:rsidR="009C61F3" w:rsidRDefault="009C61F3" w:rsidP="009C61F3">
      <w:r>
        <w:t>Por lo tanto, el CTCP ha debido solicitar la incorporación del parágrafo al artículo pertinente del Decreto reglamentario 2420 de 2015.</w:t>
      </w:r>
    </w:p>
    <w:p w14:paraId="089C7EDB" w14:textId="5F213A6A" w:rsidR="006C2CF6" w:rsidRDefault="006C2CF6" w:rsidP="009C61F3">
      <w:r>
        <w:t xml:space="preserve">En muy buena hora el anterior Secretario del Departamento Administrativo de la Presidencia de la República, hoy Fiscal General de la Nación, promovió la compilación de las disposiciones reglamentarias, </w:t>
      </w:r>
      <w:r w:rsidR="00374899">
        <w:t xml:space="preserve">proyecto </w:t>
      </w:r>
      <w:r>
        <w:t>que debe considerarse como un éxito, aunque no se llegó a reunir el 100% de las normas.</w:t>
      </w:r>
    </w:p>
    <w:p w14:paraId="51B28516" w14:textId="580DB18D" w:rsidR="006C2CF6" w:rsidRDefault="006C2CF6" w:rsidP="009C61F3">
      <w:r>
        <w:t>Por las mismas razones, es conveniente que siempre se cuente con un texto integrado de las normas de contabilidad, información financiera y aseguramiento de información. De otra manera la consulta resulta muy complica y es posible que se incurra en errores.</w:t>
      </w:r>
      <w:r w:rsidR="00141662">
        <w:t xml:space="preserve"> </w:t>
      </w:r>
    </w:p>
    <w:p w14:paraId="20615374" w14:textId="3D143D4E" w:rsidR="00141662" w:rsidRDefault="00141662" w:rsidP="009C61F3">
      <w:r>
        <w:t>Obviamente, cuando haya que verificar el cumplimiento deberá aplicarse o tenerse en cuenta la norma vigente en cada momento, por lo que es necesario conservar la historia legislativa.</w:t>
      </w:r>
    </w:p>
    <w:p w14:paraId="4C80B007" w14:textId="18CAD817" w:rsidR="00141662" w:rsidRDefault="00141662" w:rsidP="009C61F3">
      <w:r>
        <w:t>Deberíamos aprender de la herramienta que tienen a disposición del público varios países, a través de la cual se conoce el texto actual y se puede</w:t>
      </w:r>
      <w:r w:rsidR="00374899">
        <w:t>n</w:t>
      </w:r>
      <w:r>
        <w:t xml:space="preserve"> revisar las normas precedentes con solo un clic. Esta es una tarea del Estado que esperamos emprenda prontamente, antes que el costo y la dificultad de aplicar el sistema le quite conveniencia.</w:t>
      </w:r>
    </w:p>
    <w:p w14:paraId="2AC1A259" w14:textId="377677F1" w:rsidR="00141662" w:rsidRPr="00141662" w:rsidRDefault="00141662" w:rsidP="00141662">
      <w:pPr>
        <w:jc w:val="right"/>
        <w:rPr>
          <w:i/>
        </w:rPr>
      </w:pPr>
      <w:r w:rsidRPr="00141662">
        <w:rPr>
          <w:i/>
        </w:rPr>
        <w:t>Hernando Bermúdez Gómez</w:t>
      </w:r>
    </w:p>
    <w:sectPr w:rsidR="00141662" w:rsidRPr="00141662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6FE96" w14:textId="77777777" w:rsidR="00460DFC" w:rsidRDefault="00460DFC" w:rsidP="00EE7812">
      <w:pPr>
        <w:spacing w:after="0" w:line="240" w:lineRule="auto"/>
      </w:pPr>
      <w:r>
        <w:separator/>
      </w:r>
    </w:p>
  </w:endnote>
  <w:endnote w:type="continuationSeparator" w:id="0">
    <w:p w14:paraId="0CB6EE64" w14:textId="77777777" w:rsidR="00460DFC" w:rsidRDefault="00460DF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CDDEF" w14:textId="77777777" w:rsidR="00460DFC" w:rsidRDefault="00460DFC" w:rsidP="00EE7812">
      <w:pPr>
        <w:spacing w:after="0" w:line="240" w:lineRule="auto"/>
      </w:pPr>
      <w:r>
        <w:separator/>
      </w:r>
    </w:p>
  </w:footnote>
  <w:footnote w:type="continuationSeparator" w:id="0">
    <w:p w14:paraId="78281C41" w14:textId="77777777" w:rsidR="00460DFC" w:rsidRDefault="00460DF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3EC8936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897CEA">
      <w:t>3</w:t>
    </w:r>
    <w:r w:rsidR="003B28F1">
      <w:t>9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FD4A02">
      <w:t>1°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460D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0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DFC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5FCB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documents/1536166865-434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2015-decreto-24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5-decreto-30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25F6-804E-45C3-8DF8-1DEEBC15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2018-09-30T17:14:00Z</dcterms:created>
  <dcterms:modified xsi:type="dcterms:W3CDTF">2018-09-30T17:14:00Z</dcterms:modified>
</cp:coreProperties>
</file>