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Pr="00372EA1" w:rsidRDefault="00372EA1" w:rsidP="00372EA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372EA1">
        <w:rPr>
          <w:rFonts w:cs="Calibri"/>
          <w:position w:val="-7"/>
          <w:sz w:val="121"/>
        </w:rPr>
        <w:t>U</w:t>
      </w:r>
    </w:p>
    <w:p w:rsidR="001351A7" w:rsidRDefault="00372EA1" w:rsidP="00372EA1">
      <w:r>
        <w:t xml:space="preserve">n segundo criterio establecido por la </w:t>
      </w:r>
      <w:hyperlink r:id="rId9" w:history="1">
        <w:r w:rsidRPr="00DC4F3D">
          <w:rPr>
            <w:rStyle w:val="Hipervnculo"/>
          </w:rPr>
          <w:t>Ley 1314 de 2009</w:t>
        </w:r>
      </w:hyperlink>
      <w:r>
        <w:t xml:space="preserve"> para el logro de las finalidades que ella persigue</w:t>
      </w:r>
      <w:r w:rsidR="00193FF5">
        <w:t>,</w:t>
      </w:r>
      <w:r>
        <w:t xml:space="preserve"> tiene que ver con el fomento </w:t>
      </w:r>
      <w:r w:rsidR="00DC4F3D">
        <w:t>de la internacionalización de las relaciones económicas.</w:t>
      </w:r>
    </w:p>
    <w:p w:rsidR="00DC4F3D" w:rsidRDefault="00DC4F3D" w:rsidP="00372EA1">
      <w:r>
        <w:t xml:space="preserve">Es así como la acción del Estado debe </w:t>
      </w:r>
      <w:r w:rsidR="001228FA">
        <w:t>dirigirse “</w:t>
      </w:r>
      <w:r w:rsidR="001228FA" w:rsidRPr="001228FA">
        <w:t>hacia la convergencia de tales normas de contabilidad, de información financiera y de aseguramiento de la información, con estándares internacionales de aceptación mundial, con las mejores prácticas y con la rápida evolución de los negocios.</w:t>
      </w:r>
      <w:r w:rsidR="001228FA">
        <w:t>” (Artículo 1, Ley 1314 citada).</w:t>
      </w:r>
    </w:p>
    <w:p w:rsidR="001228FA" w:rsidRDefault="001228FA" w:rsidP="00372EA1">
      <w:r>
        <w:t xml:space="preserve">Claramente se trata de convergencia entre </w:t>
      </w:r>
      <w:r w:rsidR="00CE0186">
        <w:t>gr</w:t>
      </w:r>
      <w:r>
        <w:t xml:space="preserve">upos: </w:t>
      </w:r>
      <w:r w:rsidR="004E1BFD">
        <w:t xml:space="preserve">de </w:t>
      </w:r>
      <w:r>
        <w:t xml:space="preserve">las normas nacionales </w:t>
      </w:r>
      <w:r w:rsidR="004E1BFD">
        <w:t>con</w:t>
      </w:r>
      <w:r>
        <w:t xml:space="preserve"> los estándares internacionales</w:t>
      </w:r>
      <w:r w:rsidR="004E1BFD">
        <w:t>, de las normas nacionales con las mejores prácticas, de las normas nacionales con la rápida evolución de los negocios</w:t>
      </w:r>
      <w:r>
        <w:t>.</w:t>
      </w:r>
      <w:r w:rsidR="004E1BFD">
        <w:t xml:space="preserve"> Adviértase que la convergencia tiene tres horizontes y no sólo el horizonte de los estándares internacionales.</w:t>
      </w:r>
    </w:p>
    <w:p w:rsidR="001228FA" w:rsidRDefault="001228FA" w:rsidP="00372EA1">
      <w:r>
        <w:t xml:space="preserve">Para lograr tal convergencia, </w:t>
      </w:r>
      <w:r w:rsidR="00CE0186">
        <w:t>el numeral 3° del artículo 8° de la nombrada Ley ordena que el Consejo Técnico de la Contaduría Pública (</w:t>
      </w:r>
      <w:proofErr w:type="spellStart"/>
      <w:r w:rsidR="00CE0186">
        <w:t>CTCP</w:t>
      </w:r>
      <w:proofErr w:type="spellEnd"/>
      <w:r w:rsidR="00CE0186">
        <w:t>) tome “</w:t>
      </w:r>
      <w:r w:rsidR="00CE0186" w:rsidRPr="00CE0186">
        <w:t>como referencia para la elaboración de sus propuestas, los estándares más recientes y de mayor aceptación que hayan sido expedidos o estén próximos a ser expedidos por los organismos internacionales reconocidos a nivel mundial como emisores de estándares internacionales en el tema correspondiente, sus elementos y los fundamentos de sus conclusiones.</w:t>
      </w:r>
      <w:r w:rsidR="00CE0186">
        <w:t>”</w:t>
      </w:r>
    </w:p>
    <w:p w:rsidR="004E1BFD" w:rsidRDefault="004E1BFD" w:rsidP="00372EA1">
      <w:r>
        <w:t xml:space="preserve">Los estándares internacionales deben ser analizados por el </w:t>
      </w:r>
      <w:proofErr w:type="spellStart"/>
      <w:r>
        <w:t>CTCP</w:t>
      </w:r>
      <w:proofErr w:type="spellEnd"/>
      <w:r>
        <w:t xml:space="preserve">, para cerciorarse que </w:t>
      </w:r>
      <w:r w:rsidR="00F8316D">
        <w:lastRenderedPageBreak/>
        <w:t xml:space="preserve">de ser acogidos se respetarán los principios constitucionales de equidad, reciprocidad y conveniencia nacional (artículos 226 y 227 de la </w:t>
      </w:r>
      <w:hyperlink r:id="rId10" w:history="1">
        <w:r w:rsidR="00F8316D" w:rsidRPr="00DE1EF9">
          <w:rPr>
            <w:rStyle w:val="Hipervnculo"/>
          </w:rPr>
          <w:t>Constitución Nacional</w:t>
        </w:r>
      </w:hyperlink>
      <w:r w:rsidR="00F8316D">
        <w:t>)</w:t>
      </w:r>
      <w:r w:rsidR="00DE1EF9">
        <w:t>, de manera que resulten eficaces o apropiados para los entes en Colombia (numeral 3 del artículo 8 de la Ley 1314 de 2009).</w:t>
      </w:r>
      <w:r w:rsidR="00E976E1">
        <w:t xml:space="preserve"> Si uno o varios estándares, a pesar de ser en principio un punto de referencia, resultaren inadecuados, el </w:t>
      </w:r>
      <w:proofErr w:type="spellStart"/>
      <w:r w:rsidR="00E976E1">
        <w:t>CTCP</w:t>
      </w:r>
      <w:proofErr w:type="spellEnd"/>
      <w:r w:rsidR="00E976E1">
        <w:t xml:space="preserve"> deberá comunicar “</w:t>
      </w:r>
      <w:r w:rsidR="00E976E1" w:rsidRPr="00E976E1">
        <w:t>las razones técnicas de su apreciación a los ministerios de Hacienda y Crédito Público y de Comercio, Industria y Turismo, para que estos decidan sobre su conveniencia e implicaciones de acuerdo con el interés público y el bien común</w:t>
      </w:r>
      <w:r w:rsidR="006A29E3">
        <w:t>”.</w:t>
      </w:r>
    </w:p>
    <w:p w:rsidR="006A29E3" w:rsidRDefault="006A29E3" w:rsidP="00372EA1">
      <w:r>
        <w:t>Como puede observarse e</w:t>
      </w:r>
      <w:r w:rsidR="00A41EF9">
        <w:t>s</w:t>
      </w:r>
      <w:r>
        <w:t xml:space="preserve"> obligatorio tomar como punto de partida estándares internacionales y, en principio, ellos deberán inspirar las normas nacionales</w:t>
      </w:r>
      <w:r w:rsidR="00A41EF9">
        <w:t>, salvo que no sean apropiado</w:t>
      </w:r>
      <w:r>
        <w:t>s para el País.</w:t>
      </w:r>
    </w:p>
    <w:p w:rsidR="003C37E5" w:rsidRDefault="006A29E3" w:rsidP="00372EA1">
      <w:r>
        <w:t xml:space="preserve">Adviértase que el rechazo de un estándar internacional es cuestión que supone dos instancias: una de argumentación técnica a cargo del </w:t>
      </w:r>
      <w:proofErr w:type="spellStart"/>
      <w:r>
        <w:t>CTCP</w:t>
      </w:r>
      <w:proofErr w:type="spellEnd"/>
      <w:r>
        <w:t xml:space="preserve"> y otra de decisión, la que corresponde a las autoridades de regulación.</w:t>
      </w:r>
      <w:r w:rsidR="003C37E5">
        <w:t xml:space="preserve"> Al final debe primar el interés público y el bien común.</w:t>
      </w:r>
      <w:r w:rsidR="00576386">
        <w:t xml:space="preserve"> </w:t>
      </w:r>
      <w:r w:rsidR="003C37E5">
        <w:t>Así las cosas, se trata de un ejercicio racional, técnico, qu</w:t>
      </w:r>
      <w:r w:rsidR="00985C76">
        <w:t>e debe estar desligado de intere</w:t>
      </w:r>
      <w:r w:rsidR="003C37E5">
        <w:t>s</w:t>
      </w:r>
      <w:r w:rsidR="00985C76">
        <w:t>es</w:t>
      </w:r>
      <w:bookmarkStart w:id="0" w:name="_GoBack"/>
      <w:bookmarkEnd w:id="0"/>
      <w:r w:rsidR="003C37E5">
        <w:t xml:space="preserve"> particulares.</w:t>
      </w:r>
    </w:p>
    <w:p w:rsidR="003C37E5" w:rsidRDefault="003C37E5" w:rsidP="00372EA1">
      <w:r>
        <w:t>El análisis de los estándares internacionales y su aceptación o rechazo son asuntos que pondrán a prueba la capacidad discursiva de los diferentes estamentos de la profesión contable colombiana.</w:t>
      </w:r>
    </w:p>
    <w:p w:rsidR="003C37E5" w:rsidRPr="00576386" w:rsidRDefault="003C37E5" w:rsidP="00576386">
      <w:pPr>
        <w:jc w:val="right"/>
        <w:rPr>
          <w:i/>
        </w:rPr>
      </w:pPr>
      <w:r w:rsidRPr="00576386">
        <w:rPr>
          <w:i/>
        </w:rPr>
        <w:t>Hernando Bermúdez Gómez</w:t>
      </w:r>
    </w:p>
    <w:sectPr w:rsidR="003C37E5" w:rsidRPr="00576386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74" w:rsidRDefault="00915974" w:rsidP="00EE7812">
      <w:pPr>
        <w:spacing w:after="0" w:line="240" w:lineRule="auto"/>
      </w:pPr>
      <w:r>
        <w:separator/>
      </w:r>
    </w:p>
  </w:endnote>
  <w:endnote w:type="continuationSeparator" w:id="0">
    <w:p w:rsidR="00915974" w:rsidRDefault="009159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74" w:rsidRDefault="00915974" w:rsidP="00EE7812">
      <w:pPr>
        <w:spacing w:after="0" w:line="240" w:lineRule="auto"/>
      </w:pPr>
      <w:r>
        <w:separator/>
      </w:r>
    </w:p>
  </w:footnote>
  <w:footnote w:type="continuationSeparator" w:id="0">
    <w:p w:rsidR="00915974" w:rsidRDefault="009159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372EA1">
      <w:t>5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91597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E51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97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76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Documents/ConstitucionPoliticaColombia_201008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DBFD-F30A-4C76-B089-B2862A32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7</cp:revision>
  <cp:lastPrinted>2011-08-23T16:28:00Z</cp:lastPrinted>
  <dcterms:created xsi:type="dcterms:W3CDTF">2011-08-23T17:59:00Z</dcterms:created>
  <dcterms:modified xsi:type="dcterms:W3CDTF">2011-08-25T19:25:00Z</dcterms:modified>
</cp:coreProperties>
</file>