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A" w:rsidRPr="009C765A" w:rsidRDefault="009C765A" w:rsidP="009C765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9C765A">
        <w:rPr>
          <w:rFonts w:cs="Calibri"/>
          <w:position w:val="-9"/>
          <w:sz w:val="123"/>
        </w:rPr>
        <w:t>L</w:t>
      </w:r>
    </w:p>
    <w:p w:rsidR="009C765A" w:rsidRDefault="009C765A" w:rsidP="00B77BE5">
      <w:r>
        <w:t>as dos etapas del procedimiento que integra el debido proceso que debe observarse para expedir normas de contabilidad, información financiera y aseguramiento de información están compuestas de pasos.</w:t>
      </w:r>
    </w:p>
    <w:p w:rsidR="009C765A" w:rsidRDefault="009C765A" w:rsidP="004F6EB3">
      <w:r>
        <w:t xml:space="preserve">Recuérdese que la ley alude a las mejores prácticas en materia internacional. Tratándose de debido proceso pueden verse tanto la regulación de </w:t>
      </w:r>
      <w:hyperlink r:id="rId9" w:history="1">
        <w:proofErr w:type="spellStart"/>
        <w:r w:rsidRPr="0028489B">
          <w:rPr>
            <w:rStyle w:val="Hipervnculo"/>
          </w:rPr>
          <w:t>IFRS</w:t>
        </w:r>
        <w:proofErr w:type="spellEnd"/>
      </w:hyperlink>
      <w:r>
        <w:t xml:space="preserve"> como </w:t>
      </w:r>
      <w:r w:rsidR="004C264E">
        <w:t xml:space="preserve">la </w:t>
      </w:r>
      <w:r>
        <w:t xml:space="preserve">de </w:t>
      </w:r>
      <w:hyperlink r:id="rId10" w:history="1">
        <w:proofErr w:type="spellStart"/>
        <w:r w:rsidRPr="0028489B">
          <w:rPr>
            <w:rStyle w:val="Hipervnculo"/>
          </w:rPr>
          <w:t>IFAC</w:t>
        </w:r>
        <w:proofErr w:type="spellEnd"/>
      </w:hyperlink>
      <w:r>
        <w:t xml:space="preserve">. </w:t>
      </w:r>
      <w:r w:rsidR="004F6EB3">
        <w:t xml:space="preserve">La norma colombiana se gestó considerando referentes internacionales. Se lee en la </w:t>
      </w:r>
      <w:hyperlink r:id="rId11" w:history="1">
        <w:r w:rsidR="004F6EB3" w:rsidRPr="00F05E82">
          <w:rPr>
            <w:rStyle w:val="Hipervnculo"/>
          </w:rPr>
          <w:t>hist</w:t>
        </w:r>
        <w:r w:rsidR="00F05E82" w:rsidRPr="00F05E82">
          <w:rPr>
            <w:rStyle w:val="Hipervnculo"/>
          </w:rPr>
          <w:t>oria</w:t>
        </w:r>
      </w:hyperlink>
      <w:r w:rsidR="00F05E82">
        <w:t xml:space="preserve"> de la L</w:t>
      </w:r>
      <w:r w:rsidR="004F6EB3">
        <w:t>ey</w:t>
      </w:r>
      <w:r w:rsidR="00F05E82">
        <w:t xml:space="preserve"> 1314 de 2009</w:t>
      </w:r>
      <w:r w:rsidR="004F6EB3">
        <w:t>: “</w:t>
      </w:r>
      <w:r w:rsidR="004F6EB3">
        <w:t>Por eso el proyecto de ley propone un</w:t>
      </w:r>
      <w:r w:rsidR="004F6EB3">
        <w:t xml:space="preserve"> </w:t>
      </w:r>
      <w:r w:rsidR="004F6EB3">
        <w:t>sistema que en lo esencial es igual al consagrado en la Unión Europea,</w:t>
      </w:r>
      <w:r w:rsidR="004F6EB3">
        <w:t xml:space="preserve"> </w:t>
      </w:r>
      <w:r w:rsidR="004F6EB3">
        <w:t>comunidad internacional que sin duda es la líder en los procesos de</w:t>
      </w:r>
      <w:r w:rsidR="004F6EB3">
        <w:t xml:space="preserve"> </w:t>
      </w:r>
      <w:r w:rsidR="004F6EB3">
        <w:t>adopción de normas de contabilidad y aseguramiento</w:t>
      </w:r>
      <w:r w:rsidR="004F6EB3">
        <w:t xml:space="preserve"> </w:t>
      </w:r>
      <w:hyperlink r:id="rId12" w:history="1">
        <w:r w:rsidR="004F6EB3" w:rsidRPr="008343ED">
          <w:rPr>
            <w:rStyle w:val="Hipervnculo"/>
            <w:vertAlign w:val="superscript"/>
          </w:rPr>
          <w:t>22</w:t>
        </w:r>
      </w:hyperlink>
      <w:r w:rsidR="004F6EB3">
        <w:t>.</w:t>
      </w:r>
      <w:r w:rsidR="004F6EB3">
        <w:t>”</w:t>
      </w:r>
    </w:p>
    <w:p w:rsidR="00896FBF" w:rsidRDefault="00896FBF" w:rsidP="004F6EB3">
      <w:r>
        <w:t xml:space="preserve">El </w:t>
      </w:r>
      <w:r w:rsidR="004C264E">
        <w:t>paso primero</w:t>
      </w:r>
      <w:r>
        <w:t xml:space="preserve">, contemplado en el numeral 1 del artículo 8° de la </w:t>
      </w:r>
      <w:hyperlink r:id="rId13" w:history="1">
        <w:r w:rsidRPr="00896FBF">
          <w:rPr>
            <w:rStyle w:val="Hipervnculo"/>
          </w:rPr>
          <w:t>Ley 1314 de 2009</w:t>
        </w:r>
      </w:hyperlink>
      <w:r>
        <w:t xml:space="preserve">, es el de planeación, la cual se expresa en un programa de trabajo, </w:t>
      </w:r>
      <w:r w:rsidR="008A16C6">
        <w:t xml:space="preserve">al </w:t>
      </w:r>
      <w:r>
        <w:t>que en el nivel internacional se le conoce como agenda.</w:t>
      </w:r>
      <w:r w:rsidR="004C264E">
        <w:t xml:space="preserve"> La planeación es el momento en </w:t>
      </w:r>
      <w:r w:rsidR="004F36EE">
        <w:t>el cual</w:t>
      </w:r>
      <w:r w:rsidR="004C264E">
        <w:t xml:space="preserve"> se define qué normas son necesarias y cuál es la prioridad con que deben ser expedidas.</w:t>
      </w:r>
      <w:r w:rsidR="00502694">
        <w:t xml:space="preserve"> La planeación es dinámica, flexible, razón por la cual el Consejo Técnico de la Contaduría Pública debe presentar sus programas al menos una vez cada seis meses. </w:t>
      </w:r>
      <w:r w:rsidR="00236971">
        <w:t xml:space="preserve">Al planear se hará gala de las habilidades técnicas y de la experiencia de los miembros del </w:t>
      </w:r>
      <w:proofErr w:type="spellStart"/>
      <w:r w:rsidR="00236971">
        <w:t>CTCP</w:t>
      </w:r>
      <w:proofErr w:type="spellEnd"/>
      <w:r w:rsidR="00236971">
        <w:t>, así como de su conocimiento sobre las realidades y perspectivas de los mercados</w:t>
      </w:r>
      <w:r w:rsidR="004F36EE">
        <w:t xml:space="preserve"> (artículo 11</w:t>
      </w:r>
      <w:r w:rsidR="00843FB2">
        <w:t>, ibídem)</w:t>
      </w:r>
      <w:r w:rsidR="00236971">
        <w:t xml:space="preserve">. Uno de los insumos esenciales en este proceso debiera ser la agenda de los emisores </w:t>
      </w:r>
      <w:r w:rsidR="00843FB2">
        <w:t xml:space="preserve">internacionales </w:t>
      </w:r>
      <w:r w:rsidR="00236971">
        <w:t xml:space="preserve">de </w:t>
      </w:r>
      <w:r w:rsidR="00236971">
        <w:lastRenderedPageBreak/>
        <w:t>estándares de referencia (</w:t>
      </w:r>
      <w:r w:rsidR="004F36EE">
        <w:t>numerales 3, 10 y 11 del artículo 8 °).</w:t>
      </w:r>
    </w:p>
    <w:p w:rsidR="00843FB2" w:rsidRDefault="00814BD6" w:rsidP="004F6EB3">
      <w:r>
        <w:t>Un segundo paso</w:t>
      </w:r>
      <w:r w:rsidR="00843FB2">
        <w:t xml:space="preserve"> consiste en la preparación de borradores. </w:t>
      </w:r>
      <w:r w:rsidR="00B82B3B">
        <w:t xml:space="preserve">En </w:t>
      </w:r>
      <w:r w:rsidR="00265125">
        <w:t>su</w:t>
      </w:r>
      <w:r w:rsidR="00B82B3B">
        <w:t xml:space="preserve"> </w:t>
      </w:r>
      <w:r w:rsidR="00F81203">
        <w:t>redacción</w:t>
      </w:r>
      <w:r w:rsidR="00B82B3B">
        <w:t>, entre otras cosas, jugarán un papel definitivo el personal técnico de planta y las fuentes bibliográficas disponibles. Estos borradores se prepa</w:t>
      </w:r>
      <w:r w:rsidR="001E690D">
        <w:t>ra</w:t>
      </w:r>
      <w:r w:rsidR="00B82B3B">
        <w:t>rán</w:t>
      </w:r>
      <w:r>
        <w:t>, cuando los hubiere,</w:t>
      </w:r>
      <w:r w:rsidR="00B82B3B">
        <w:t xml:space="preserve"> a partir de </w:t>
      </w:r>
      <w:r w:rsidR="001E690D">
        <w:t>los estándares más recientes y de mayor aceptación que hayan expedido o estén próximos a expedirse por organismos internacionales reconocidos a nivel mundial como emisores de estándares internacionales (numeral 3 del artículo 8 °)</w:t>
      </w:r>
      <w:r>
        <w:t>.</w:t>
      </w:r>
      <w:r w:rsidR="00302510">
        <w:t xml:space="preserve"> Las normas de referencia habrán de ser consideradas en su integridad</w:t>
      </w:r>
      <w:r w:rsidR="001F583A">
        <w:t>;</w:t>
      </w:r>
      <w:r w:rsidR="00302510">
        <w:t xml:space="preserve"> la ley colombiana contempla expresamente la consideración de los </w:t>
      </w:r>
      <w:r w:rsidR="001F583A">
        <w:t xml:space="preserve">todos </w:t>
      </w:r>
      <w:r w:rsidR="00F81203">
        <w:t>l</w:t>
      </w:r>
      <w:r w:rsidR="001F583A">
        <w:t xml:space="preserve">os elementos de las normas y de </w:t>
      </w:r>
      <w:r w:rsidR="008478F4">
        <w:t xml:space="preserve">los </w:t>
      </w:r>
      <w:r w:rsidR="00302510">
        <w:t>fundamentos de sus conclusiones.</w:t>
      </w:r>
    </w:p>
    <w:p w:rsidR="00814BD6" w:rsidRDefault="00814BD6" w:rsidP="004F6EB3">
      <w:r>
        <w:t>La preparación de borradores no está sujeta a la existencia de estándares internacionales. Si los hubiere</w:t>
      </w:r>
      <w:r w:rsidR="00265125">
        <w:t>,</w:t>
      </w:r>
      <w:r>
        <w:t xml:space="preserve"> se les tomará como referencia. Si no los hubiere</w:t>
      </w:r>
      <w:r w:rsidR="00265125">
        <w:t>,</w:t>
      </w:r>
      <w:r>
        <w:t xml:space="preserve"> el </w:t>
      </w:r>
      <w:proofErr w:type="spellStart"/>
      <w:r>
        <w:t>CTCP</w:t>
      </w:r>
      <w:proofErr w:type="spellEnd"/>
      <w:r>
        <w:t xml:space="preserve"> elaborará sus borradores atendiendo a la literatura técnica disponible.</w:t>
      </w:r>
      <w:r w:rsidR="004017E3">
        <w:t xml:space="preserve"> También, ante la falta de referentes internacionales, le resultará útil y apropiada la consideración de normas y estándares extranjeros.</w:t>
      </w:r>
    </w:p>
    <w:p w:rsidR="004017E3" w:rsidRDefault="004017E3" w:rsidP="004F6EB3">
      <w:r>
        <w:t>Aunque eventualmente los borradores consistan en transcripciones</w:t>
      </w:r>
      <w:r w:rsidR="00F81203">
        <w:t>, debidamente autorizadas,</w:t>
      </w:r>
      <w:r>
        <w:t xml:space="preserve"> de los estándares tomados como referencia, ellos no </w:t>
      </w:r>
      <w:r w:rsidR="001F583A">
        <w:t>podrán ser</w:t>
      </w:r>
      <w:r>
        <w:t xml:space="preserve"> el fruto de una simple copia</w:t>
      </w:r>
      <w:r w:rsidR="001F583A">
        <w:t xml:space="preserve">, sino que deberán ser el resultado </w:t>
      </w:r>
      <w:r w:rsidR="00F81203">
        <w:t>un</w:t>
      </w:r>
      <w:r w:rsidR="001F583A">
        <w:t xml:space="preserve"> juicioso análisis sobre </w:t>
      </w:r>
      <w:r w:rsidR="008478F4">
        <w:t>su eficacia para el País.</w:t>
      </w:r>
      <w:bookmarkStart w:id="0" w:name="_GoBack"/>
      <w:bookmarkEnd w:id="0"/>
    </w:p>
    <w:p w:rsidR="008478F4" w:rsidRPr="008478F4" w:rsidRDefault="008478F4" w:rsidP="008478F4">
      <w:pPr>
        <w:jc w:val="right"/>
        <w:rPr>
          <w:i/>
        </w:rPr>
      </w:pPr>
      <w:r w:rsidRPr="008478F4">
        <w:rPr>
          <w:i/>
        </w:rPr>
        <w:t>Hernando Bermúdez Gómez</w:t>
      </w:r>
    </w:p>
    <w:sectPr w:rsidR="008478F4" w:rsidRPr="008478F4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3B" w:rsidRDefault="00E6103B" w:rsidP="00EE7812">
      <w:pPr>
        <w:spacing w:after="0" w:line="240" w:lineRule="auto"/>
      </w:pPr>
      <w:r>
        <w:separator/>
      </w:r>
    </w:p>
  </w:endnote>
  <w:endnote w:type="continuationSeparator" w:id="0">
    <w:p w:rsidR="00E6103B" w:rsidRDefault="00E610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3B" w:rsidRDefault="00E6103B" w:rsidP="00EE7812">
      <w:pPr>
        <w:spacing w:after="0" w:line="240" w:lineRule="auto"/>
      </w:pPr>
      <w:r>
        <w:separator/>
      </w:r>
    </w:p>
  </w:footnote>
  <w:footnote w:type="continuationSeparator" w:id="0">
    <w:p w:rsidR="00E6103B" w:rsidRDefault="00E610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90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E610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03B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09-ley-13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CELEX:32002R1606:ES: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regulacioncontable/documentos/gaceta106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eb.ifac.org/download/PIAC-Due_Process_and_Working_Procedur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NR/rdonlyres/C3D78611-8792-441F-B426-6AF5189C83B8/0/DueProcessIASB201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A534-1B38-4941-9FDA-D4135259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10</cp:revision>
  <cp:lastPrinted>2011-08-23T16:28:00Z</cp:lastPrinted>
  <dcterms:created xsi:type="dcterms:W3CDTF">2011-08-26T16:01:00Z</dcterms:created>
  <dcterms:modified xsi:type="dcterms:W3CDTF">2011-08-26T18:26:00Z</dcterms:modified>
</cp:coreProperties>
</file>