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1A1A1" w14:textId="74C4B9EF" w:rsidR="00110490" w:rsidRPr="00110490" w:rsidRDefault="00110490" w:rsidP="0011049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110490">
        <w:rPr>
          <w:position w:val="-8"/>
          <w:sz w:val="123"/>
        </w:rPr>
        <w:t>M</w:t>
      </w:r>
    </w:p>
    <w:p w14:paraId="678A95AC" w14:textId="401BEF7B" w:rsidR="00630118" w:rsidRDefault="00110490" w:rsidP="00C20810">
      <w:r>
        <w:t xml:space="preserve">ediante el </w:t>
      </w:r>
      <w:hyperlink r:id="rId8" w:history="1">
        <w:r w:rsidRPr="00F9457F">
          <w:rPr>
            <w:rStyle w:val="Hipervnculo"/>
          </w:rPr>
          <w:t>Decreto extraordinario 2150 de 1995</w:t>
        </w:r>
      </w:hyperlink>
      <w:r>
        <w:t xml:space="preserve"> se expidieron normas generales sobre el reconocimiento de personerías jurídicas.</w:t>
      </w:r>
    </w:p>
    <w:p w14:paraId="0ABF12D6" w14:textId="12CCA272" w:rsidR="00F9457F" w:rsidRDefault="00F9457F" w:rsidP="00C20810">
      <w:r>
        <w:t>Pocos han dado efecto a la expresión “</w:t>
      </w:r>
      <w:r w:rsidRPr="00F9457F">
        <w:rPr>
          <w:i/>
        </w:rPr>
        <w:t>si es del caso</w:t>
      </w:r>
      <w:r>
        <w:t>” contenida en el numeral 10 del artículo 40 del citado decreto, que regula el contenido de los estatutos de las personas jurídicas sin ánimo de lucro. Dicho numeral reza: “</w:t>
      </w:r>
      <w:r w:rsidRPr="00F9457F">
        <w:rPr>
          <w:i/>
        </w:rPr>
        <w:t>10. Las facultades y obligaciones del Revisor Fiscal, si es del caso</w:t>
      </w:r>
      <w:r>
        <w:t>”.</w:t>
      </w:r>
    </w:p>
    <w:p w14:paraId="3F841F51" w14:textId="199CD140" w:rsidR="00F9457F" w:rsidRDefault="00F9457F" w:rsidP="00C20810">
      <w:r>
        <w:t xml:space="preserve">Obviamente, la norma asumía que habría revisor fiscal </w:t>
      </w:r>
      <w:r w:rsidR="009F4FE1">
        <w:t>cuando</w:t>
      </w:r>
      <w:r>
        <w:t xml:space="preserve"> fuera exigido por otra disposición o </w:t>
      </w:r>
      <w:r w:rsidR="009F4FE1">
        <w:t>cuando</w:t>
      </w:r>
      <w:r>
        <w:t xml:space="preserve"> los constituyentes de la entidad así lo acordaren.</w:t>
      </w:r>
    </w:p>
    <w:p w14:paraId="6D5D90F3" w14:textId="30144B49" w:rsidR="00CC6F5E" w:rsidRDefault="00CC6F5E" w:rsidP="00C20810">
      <w:r>
        <w:t>Así las cosas, en la mayoría de los casos, las funciones del revisor serían las que se desprenden de la Ley 43 de 1990 y de los estatutos de la persona jurídica. Ante eventuales vacíos cabía aplicar por analogía el régimen de las sociedades comerciales, sin afectar la naturaleza y funcionamiento de las mencionadas organizaciones.</w:t>
      </w:r>
    </w:p>
    <w:p w14:paraId="5D4AC24D" w14:textId="0175E885" w:rsidR="00CC6F5E" w:rsidRDefault="00CC6F5E" w:rsidP="00CC6F5E">
      <w:r>
        <w:t xml:space="preserve">Las cosas cambiaron sustancialmente con la expedición de la </w:t>
      </w:r>
      <w:hyperlink r:id="rId9" w:history="1">
        <w:r w:rsidRPr="009F4FE1">
          <w:rPr>
            <w:rStyle w:val="Hipervnculo"/>
          </w:rPr>
          <w:t>Ley 1314 de 2009</w:t>
        </w:r>
      </w:hyperlink>
      <w:r>
        <w:t xml:space="preserve"> porque esta dispuso: “</w:t>
      </w:r>
      <w:r w:rsidRPr="002927D3">
        <w:rPr>
          <w:i/>
        </w:rPr>
        <w:t xml:space="preserve">ARTÍCULO 15°. Aplicación extensiva. Cuando al aplicar el régimen legal propio de una persona </w:t>
      </w:r>
      <w:r w:rsidR="002927D3" w:rsidRPr="002927D3">
        <w:rPr>
          <w:i/>
        </w:rPr>
        <w:t>jurídica</w:t>
      </w:r>
      <w:r w:rsidRPr="002927D3">
        <w:rPr>
          <w:i/>
        </w:rPr>
        <w:t xml:space="preserve"> no comerciante se advierta que él no contempla normas en materia de contabilidad, estados financieros, control interno, administradores, rendición</w:t>
      </w:r>
      <w:r w:rsidR="002927D3" w:rsidRPr="002927D3">
        <w:rPr>
          <w:i/>
        </w:rPr>
        <w:t xml:space="preserve"> </w:t>
      </w:r>
      <w:r w:rsidRPr="002927D3">
        <w:rPr>
          <w:i/>
        </w:rPr>
        <w:t>de cuentas, informes a los máximos órganos sociales, reviso</w:t>
      </w:r>
      <w:r w:rsidR="002927D3" w:rsidRPr="002927D3">
        <w:rPr>
          <w:i/>
        </w:rPr>
        <w:t>ría fiscal, auditorí</w:t>
      </w:r>
      <w:r w:rsidRPr="002927D3">
        <w:rPr>
          <w:i/>
        </w:rPr>
        <w:t xml:space="preserve">a, o cuando como consecuencia de una </w:t>
      </w:r>
      <w:r w:rsidR="002927D3" w:rsidRPr="002927D3">
        <w:rPr>
          <w:i/>
        </w:rPr>
        <w:t>normatividad incompleta se adviertan vací</w:t>
      </w:r>
      <w:r w:rsidRPr="002927D3">
        <w:rPr>
          <w:i/>
        </w:rPr>
        <w:t>os</w:t>
      </w:r>
      <w:r w:rsidR="002927D3" w:rsidRPr="002927D3">
        <w:rPr>
          <w:i/>
        </w:rPr>
        <w:t xml:space="preserve"> </w:t>
      </w:r>
      <w:r w:rsidRPr="002927D3">
        <w:rPr>
          <w:i/>
        </w:rPr>
        <w:t xml:space="preserve">legales en dicho régimen, se aplicarán en forma supletiva las disposiciones para las </w:t>
      </w:r>
      <w:r w:rsidRPr="002927D3">
        <w:rPr>
          <w:i/>
        </w:rPr>
        <w:t>sociedades comerciales previstas en el Código de Comercio y en las demás normas que modifican y adicionan a éste.</w:t>
      </w:r>
      <w:r w:rsidR="002927D3">
        <w:t>”</w:t>
      </w:r>
    </w:p>
    <w:p w14:paraId="2365FA6E" w14:textId="1598EA7E" w:rsidR="009F4FE1" w:rsidRDefault="009F4FE1" w:rsidP="00CC6F5E">
      <w:r>
        <w:t xml:space="preserve">De tal manera que cuando superen los límites previstos en el parágrafo 2° del artículo 13 de la </w:t>
      </w:r>
      <w:hyperlink r:id="rId10" w:history="1">
        <w:r w:rsidRPr="009F4FE1">
          <w:rPr>
            <w:rStyle w:val="Hipervnculo"/>
          </w:rPr>
          <w:t>Ley 43 de 1990</w:t>
        </w:r>
      </w:hyperlink>
      <w:r>
        <w:t>, las personas jurídicas sin ánimo de lucro deberán tener revisor fiscal, el cual tendrá las funciones enumeradas en el artículo 207 del Código de Comercio.</w:t>
      </w:r>
    </w:p>
    <w:p w14:paraId="26689561" w14:textId="198A3D55" w:rsidR="009F4FE1" w:rsidRDefault="009F4FE1" w:rsidP="00CC6F5E">
      <w:r>
        <w:t>Las funciones del revisor fiscal deben desarrollarse en el marco del principio de independencia, que supone la libertad de criterio, la libertad de acceso a la evidencia y la libertad de opinión.</w:t>
      </w:r>
    </w:p>
    <w:p w14:paraId="675FB2D4" w14:textId="4EF3C72A" w:rsidR="00D1714E" w:rsidRDefault="00D1714E" w:rsidP="00D1714E">
      <w:r>
        <w:t xml:space="preserve">Hoy en día las comunicaciones entre el revisor fiscal y la entidad respectiva se encuentran regidas por las normas de aseguramiento de información. Por ejemplo, véase la </w:t>
      </w:r>
      <w:r w:rsidRPr="00D1714E">
        <w:rPr>
          <w:i/>
        </w:rPr>
        <w:t>Norma Internacional de Auditoría 260 Comunicación con los responsables del gobierno de la entidad</w:t>
      </w:r>
      <w:r>
        <w:t xml:space="preserve">, la </w:t>
      </w:r>
      <w:r w:rsidRPr="00D1714E">
        <w:rPr>
          <w:i/>
        </w:rPr>
        <w:t>Norma Internacional de Auditoría 265 Comunicación de las deficiencias en el control interno a los responsables del gobierno y a la dirección de la entidad</w:t>
      </w:r>
      <w:r>
        <w:rPr>
          <w:i/>
        </w:rPr>
        <w:t xml:space="preserve">, </w:t>
      </w:r>
      <w:r>
        <w:t xml:space="preserve">la </w:t>
      </w:r>
      <w:r w:rsidRPr="00D1714E">
        <w:rPr>
          <w:i/>
        </w:rPr>
        <w:t>Norma Internacional de Auditoría 700 Formación de la opinión y emisión del informe de auditoría sobre los estados financieros</w:t>
      </w:r>
      <w:r>
        <w:rPr>
          <w:i/>
        </w:rPr>
        <w:t>.</w:t>
      </w:r>
      <w:r w:rsidR="00FF4791">
        <w:t xml:space="preserve"> Estas disposiciones no imponen la obligación de informes mensuales sobre la situación financiera. Por ello, si se consideran necesarios, deben consagrarse en los estatutos o en la solicitud de cotizaciones. Los administradores carecen de autoridad para exigir al revisor fiscal pronunciamientos.</w:t>
      </w:r>
    </w:p>
    <w:p w14:paraId="1EC6E2B4" w14:textId="25AD757D" w:rsidR="00FF4791" w:rsidRPr="00FF4791" w:rsidRDefault="00FF4791" w:rsidP="00FF4791">
      <w:pPr>
        <w:jc w:val="right"/>
        <w:rPr>
          <w:i/>
        </w:rPr>
      </w:pPr>
      <w:r w:rsidRPr="00FF4791">
        <w:rPr>
          <w:i/>
        </w:rPr>
        <w:t>Hernando Bermúdez Gómez</w:t>
      </w:r>
    </w:p>
    <w:sectPr w:rsidR="00FF4791" w:rsidRPr="00FF4791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DA7D5" w14:textId="77777777" w:rsidR="00D00FB4" w:rsidRDefault="00D00FB4" w:rsidP="00EE7812">
      <w:pPr>
        <w:spacing w:after="0" w:line="240" w:lineRule="auto"/>
      </w:pPr>
      <w:r>
        <w:separator/>
      </w:r>
    </w:p>
  </w:endnote>
  <w:endnote w:type="continuationSeparator" w:id="0">
    <w:p w14:paraId="28A5BC85" w14:textId="77777777" w:rsidR="00D00FB4" w:rsidRDefault="00D00FB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963C1" w14:textId="77777777" w:rsidR="00D00FB4" w:rsidRDefault="00D00FB4" w:rsidP="00EE7812">
      <w:pPr>
        <w:spacing w:after="0" w:line="240" w:lineRule="auto"/>
      </w:pPr>
      <w:r>
        <w:separator/>
      </w:r>
    </w:p>
  </w:footnote>
  <w:footnote w:type="continuationSeparator" w:id="0">
    <w:p w14:paraId="5D561A06" w14:textId="77777777" w:rsidR="00D00FB4" w:rsidRDefault="00D00FB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2CAE7F3B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A23394">
      <w:t>90</w:t>
    </w:r>
    <w:r w:rsidR="00C20810">
      <w:t>4</w:t>
    </w:r>
    <w:r w:rsidR="00BA1897">
      <w:t>,</w:t>
    </w:r>
    <w:r w:rsidR="00C5117D">
      <w:t xml:space="preserve"> </w:t>
    </w:r>
    <w:r w:rsidR="00FD4A02">
      <w:t>octubre</w:t>
    </w:r>
    <w:r w:rsidR="004B5309">
      <w:t xml:space="preserve"> </w:t>
    </w:r>
    <w:r w:rsidR="00C20810">
      <w:t>29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D00FB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783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23A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2D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FB4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Decretos/140857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averiana.edu.co/personales/hbermude/leycontable/contadores/1990-ley-4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leycontable/contadores/2009-ley-13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1EA1-AE24-4369-8FD8-4BC648A1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2018-10-28T16:22:00Z</dcterms:created>
  <dcterms:modified xsi:type="dcterms:W3CDTF">2018-10-28T16:22:00Z</dcterms:modified>
</cp:coreProperties>
</file>