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34" w:rsidRPr="003F6B34" w:rsidRDefault="003F6B34" w:rsidP="003F6B34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3F6B34">
        <w:rPr>
          <w:rFonts w:cs="Calibri"/>
          <w:position w:val="-9"/>
          <w:sz w:val="123"/>
        </w:rPr>
        <w:t>E</w:t>
      </w:r>
    </w:p>
    <w:p w:rsidR="00F57D1B" w:rsidRPr="00F57D1B" w:rsidRDefault="00F57D1B" w:rsidP="00F57D1B">
      <w:r w:rsidRPr="00F57D1B">
        <w:t xml:space="preserve">l pasado 29 de  julio el Gobierno Nacional expidió el </w:t>
      </w:r>
      <w:hyperlink r:id="rId9" w:history="1">
        <w:r w:rsidRPr="00F57D1B">
          <w:rPr>
            <w:rStyle w:val="Hyperlink"/>
          </w:rPr>
          <w:t>Decreto 2645</w:t>
        </w:r>
      </w:hyperlink>
      <w:r w:rsidRPr="00F57D1B">
        <w:t xml:space="preserve"> de 2011, por el cual se establecen “…</w:t>
      </w:r>
      <w:r w:rsidRPr="00F57D1B">
        <w:rPr>
          <w:i/>
        </w:rPr>
        <w:t>controles adicionales, en los procedimientos de inscripción, actualización, suspensión y cancelación del Registro Único Tributario –RUT</w:t>
      </w:r>
      <w:r w:rsidRPr="00F57D1B">
        <w:t>”</w:t>
      </w:r>
    </w:p>
    <w:p w:rsidR="00F57D1B" w:rsidRPr="00F57D1B" w:rsidRDefault="00F57D1B" w:rsidP="00F57D1B">
      <w:r w:rsidRPr="00F57D1B">
        <w:t>Particularmente problemática en la práctica resultó ser la medida de exigir que las personas naturales que se inscribier</w:t>
      </w:r>
      <w:r w:rsidR="00EC08DF">
        <w:t>e</w:t>
      </w:r>
      <w:r w:rsidRPr="00F57D1B">
        <w:t>n en el RUT deb</w:t>
      </w:r>
      <w:r w:rsidR="00EC08DF">
        <w:t>a</w:t>
      </w:r>
      <w:r w:rsidRPr="00F57D1B">
        <w:t xml:space="preserve">n ser titulares de una cuenta bancaria y </w:t>
      </w:r>
      <w:r w:rsidR="00EC08DF">
        <w:t>exhibir</w:t>
      </w:r>
      <w:r w:rsidRPr="00F57D1B">
        <w:t xml:space="preserve"> el original de un recibo de pago de servicios públicos a nombre de quien se inscriba, en </w:t>
      </w:r>
      <w:r w:rsidR="00150145">
        <w:t>el cual</w:t>
      </w:r>
      <w:r w:rsidRPr="00F57D1B">
        <w:t xml:space="preserve"> constara la dirección reportada en el RUT. Durante la semana siguiente a la emisión de este Decreto no fueron pocas las </w:t>
      </w:r>
      <w:r w:rsidR="00EA0FDD">
        <w:t>dificultades</w:t>
      </w:r>
      <w:r w:rsidRPr="00F57D1B">
        <w:t xml:space="preserve"> que se presentar</w:t>
      </w:r>
      <w:r w:rsidR="00EA0FDD">
        <w:t>on</w:t>
      </w:r>
      <w:r w:rsidRPr="00F57D1B">
        <w:t xml:space="preserve"> en las oficinas de la Administración de Impuestos. Por ello el Gobierno se </w:t>
      </w:r>
      <w:proofErr w:type="spellStart"/>
      <w:r w:rsidRPr="00F57D1B">
        <w:t>vi</w:t>
      </w:r>
      <w:r w:rsidR="00EA0FDD">
        <w:t>ó</w:t>
      </w:r>
      <w:proofErr w:type="spellEnd"/>
      <w:r w:rsidRPr="00F57D1B">
        <w:t xml:space="preserve"> obligado a expedir el </w:t>
      </w:r>
      <w:hyperlink r:id="rId10" w:history="1">
        <w:r w:rsidRPr="00F57D1B">
          <w:rPr>
            <w:rStyle w:val="Hyperlink"/>
          </w:rPr>
          <w:t>Decreto 2820</w:t>
        </w:r>
      </w:hyperlink>
      <w:r w:rsidRPr="00F57D1B">
        <w:t xml:space="preserve"> del 9 de agosto 2011 “</w:t>
      </w:r>
      <w:r w:rsidRPr="00F57D1B">
        <w:rPr>
          <w:i/>
        </w:rPr>
        <w:t>Por el cual se modifica parcialmente el Decreto 2645 de 2011</w:t>
      </w:r>
      <w:r w:rsidRPr="00F57D1B">
        <w:t xml:space="preserve">”. En </w:t>
      </w:r>
      <w:r w:rsidR="00EA0FDD">
        <w:t>é</w:t>
      </w:r>
      <w:r w:rsidRPr="00F57D1B">
        <w:t xml:space="preserve">ste se flexibilizan los requerimientos mencionados. Debe destacarse la rápida respuesta del Gobierno, aunque también podría cuestionarse </w:t>
      </w:r>
      <w:r w:rsidR="00EA0FDD">
        <w:t>que</w:t>
      </w:r>
      <w:r w:rsidRPr="00F57D1B">
        <w:t xml:space="preserve"> las dificultades presentadas podrían haberse previsto antes de la emisión del Decreto 2645.</w:t>
      </w:r>
    </w:p>
    <w:p w:rsidR="00F57D1B" w:rsidRPr="00F57D1B" w:rsidRDefault="00F57D1B" w:rsidP="00F57D1B">
      <w:r w:rsidRPr="00F57D1B">
        <w:t>Adicionalmente, el Decreto 2645 creó la posibilidad de suspender la inscripción en el RUT de un contribuyente. La suspensión de la inscripción genera varios efectos, entre los que resalto: (</w:t>
      </w:r>
      <w:r w:rsidRPr="00080FAA">
        <w:rPr>
          <w:u w:val="single"/>
        </w:rPr>
        <w:t>Subrayado fuera del texto</w:t>
      </w:r>
      <w:r w:rsidRPr="00F57D1B">
        <w:t>)</w:t>
      </w:r>
    </w:p>
    <w:p w:rsidR="00F57D1B" w:rsidRPr="00F57D1B" w:rsidRDefault="00F57D1B" w:rsidP="00F57D1B">
      <w:pPr>
        <w:rPr>
          <w:i/>
        </w:rPr>
      </w:pPr>
      <w:r w:rsidRPr="00F57D1B">
        <w:rPr>
          <w:i/>
        </w:rPr>
        <w:t xml:space="preserve">“A partir de la fecha de la suspensión de la inscripción en el Registro Único Tributario -RUT y hasta el levantamiento de ésta, el </w:t>
      </w:r>
      <w:r w:rsidRPr="00F57D1B">
        <w:rPr>
          <w:i/>
        </w:rPr>
        <w:lastRenderedPageBreak/>
        <w:t>obligado no podrá tramitar solicitudes de devolución </w:t>
      </w:r>
      <w:r w:rsidRPr="00F57D1B">
        <w:rPr>
          <w:i/>
          <w:iCs/>
        </w:rPr>
        <w:t>y/o </w:t>
      </w:r>
      <w:r w:rsidRPr="00F57D1B">
        <w:rPr>
          <w:i/>
        </w:rPr>
        <w:t xml:space="preserve">compensación, </w:t>
      </w:r>
      <w:r w:rsidRPr="00080FAA">
        <w:rPr>
          <w:i/>
          <w:u w:val="single"/>
        </w:rPr>
        <w:t>no se aceptarán los impuestos descontables, costos ni deducciones en las cuales figure como proveedor o prestador de servicios de solicitantes de devolución</w:t>
      </w:r>
      <w:r w:rsidRPr="00F57D1B">
        <w:rPr>
          <w:i/>
        </w:rPr>
        <w:t>, de los impuestos administrados por la Dirección de Impuestos y Aduanas Nacionales…”</w:t>
      </w:r>
    </w:p>
    <w:p w:rsidR="00F57D1B" w:rsidRPr="00F57D1B" w:rsidRDefault="00F57D1B" w:rsidP="00F57D1B">
      <w:r w:rsidRPr="00F57D1B">
        <w:t xml:space="preserve">Alrededor de esta disposición se generan importantes cuestionamientos tales como: </w:t>
      </w:r>
    </w:p>
    <w:p w:rsidR="00F57D1B" w:rsidRPr="00F57D1B" w:rsidRDefault="00F57D1B" w:rsidP="00F57D1B">
      <w:r w:rsidRPr="00F57D1B">
        <w:t xml:space="preserve">¿No es algo </w:t>
      </w:r>
      <w:r w:rsidR="00080FAA">
        <w:t>injusto</w:t>
      </w:r>
      <w:r w:rsidRPr="00F57D1B">
        <w:t xml:space="preserve"> “</w:t>
      </w:r>
      <w:r w:rsidRPr="00F57D1B">
        <w:rPr>
          <w:i/>
        </w:rPr>
        <w:t>castigar”</w:t>
      </w:r>
      <w:r w:rsidRPr="00F57D1B">
        <w:t xml:space="preserve"> a una entidad, </w:t>
      </w:r>
      <w:r w:rsidR="00080FAA">
        <w:t>rechazándole (a</w:t>
      </w:r>
      <w:r w:rsidRPr="00F57D1B">
        <w:t xml:space="preserve">sí sea temporalmente) costos y deducciones, cuando se suspende la inscripción de un contribuyente distinto? </w:t>
      </w:r>
    </w:p>
    <w:p w:rsidR="00F57D1B" w:rsidRPr="00F57D1B" w:rsidRDefault="00F57D1B" w:rsidP="00F57D1B">
      <w:r w:rsidRPr="00F57D1B">
        <w:t>¿Qué mecanismo tendrá una entidad para verificar que la inscripción en el RUT de una entidad no se encuentra suspendida?</w:t>
      </w:r>
    </w:p>
    <w:p w:rsidR="00F57D1B" w:rsidRPr="00F57D1B" w:rsidRDefault="00F57D1B" w:rsidP="00F57D1B">
      <w:r w:rsidRPr="00F57D1B">
        <w:t>En fin</w:t>
      </w:r>
      <w:r w:rsidR="008F5CF5">
        <w:t>…</w:t>
      </w:r>
      <w:r w:rsidRPr="00F57D1B">
        <w:t xml:space="preserve"> todo esto me hace </w:t>
      </w:r>
      <w:r w:rsidR="008F5CF5">
        <w:t>pensar</w:t>
      </w:r>
      <w:r w:rsidRPr="00F57D1B">
        <w:t xml:space="preserve"> sobre lo adecuado que podría ser la implementación de un debido proceso en la expedición de normas tributarias, como hoy se hace en el mundo</w:t>
      </w:r>
      <w:r w:rsidR="007A0049">
        <w:t xml:space="preserve"> (y</w:t>
      </w:r>
      <w:r w:rsidRPr="00F57D1B">
        <w:t xml:space="preserve"> como debe</w:t>
      </w:r>
      <w:bookmarkStart w:id="0" w:name="_GoBack"/>
      <w:bookmarkEnd w:id="0"/>
      <w:r w:rsidRPr="00F57D1B">
        <w:t xml:space="preserve"> hacerse en Colombia) en la emisión de normas sobre </w:t>
      </w:r>
      <w:hyperlink r:id="rId11" w:history="1">
        <w:r w:rsidRPr="00F57D1B">
          <w:rPr>
            <w:rStyle w:val="Hyperlink"/>
          </w:rPr>
          <w:t>reportes financieros</w:t>
        </w:r>
      </w:hyperlink>
      <w:r w:rsidRPr="00F57D1B">
        <w:t xml:space="preserve"> y </w:t>
      </w:r>
      <w:hyperlink r:id="rId12" w:history="1">
        <w:r w:rsidRPr="00F57D1B">
          <w:rPr>
            <w:rStyle w:val="Hyperlink"/>
          </w:rPr>
          <w:t>aseguramiento</w:t>
        </w:r>
      </w:hyperlink>
      <w:r w:rsidRPr="00F57D1B">
        <w:t xml:space="preserve"> de la información. Como se mencionó recientemente en </w:t>
      </w:r>
      <w:hyperlink r:id="rId13" w:history="1">
        <w:r w:rsidRPr="00F57D1B">
          <w:rPr>
            <w:rStyle w:val="Hyperlink"/>
          </w:rPr>
          <w:t>Contrapartida</w:t>
        </w:r>
      </w:hyperlink>
      <w:r w:rsidRPr="00F57D1B">
        <w:t>, esto implica ir más allá de la simple publicación de los proyectos de norma. Entre otras cosas, se requiere que el tiempo de consulta sea suficiente, además de llevar a cabo simulaciones y pruebas de campo que pongan de presente los efectos esperados de las normas.</w:t>
      </w:r>
    </w:p>
    <w:p w:rsidR="00257F04" w:rsidRPr="00B66985" w:rsidRDefault="00F57D1B" w:rsidP="00F57D1B">
      <w:pPr>
        <w:jc w:val="right"/>
      </w:pPr>
      <w:r w:rsidRPr="00F57D1B">
        <w:rPr>
          <w:i/>
        </w:rPr>
        <w:t>Edgar Emilio Salazar Baquero</w:t>
      </w:r>
    </w:p>
    <w:sectPr w:rsidR="00257F04" w:rsidRPr="00B66985" w:rsidSect="007F1D21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33" w:rsidRDefault="00EB3D33" w:rsidP="00EE7812">
      <w:pPr>
        <w:spacing w:after="0" w:line="240" w:lineRule="auto"/>
      </w:pPr>
      <w:r>
        <w:separator/>
      </w:r>
    </w:p>
  </w:endnote>
  <w:endnote w:type="continuationSeparator" w:id="0">
    <w:p w:rsidR="00EB3D33" w:rsidRDefault="00EB3D3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33" w:rsidRDefault="00EB3D33" w:rsidP="00EE7812">
      <w:pPr>
        <w:spacing w:after="0" w:line="240" w:lineRule="auto"/>
      </w:pPr>
      <w:r>
        <w:separator/>
      </w:r>
    </w:p>
  </w:footnote>
  <w:footnote w:type="continuationSeparator" w:id="0">
    <w:p w:rsidR="00EB3D33" w:rsidRDefault="00EB3D3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B77BE5">
      <w:t>9</w:t>
    </w:r>
    <w:r w:rsidR="00B66985">
      <w:t>6</w:t>
    </w:r>
    <w:r w:rsidR="009D09BB">
      <w:t xml:space="preserve">, </w:t>
    </w:r>
    <w:r w:rsidR="0005771D">
      <w:t xml:space="preserve">agosto </w:t>
    </w:r>
    <w:r w:rsidR="00A916BB">
      <w:t>2</w:t>
    </w:r>
    <w:r w:rsidR="007B06D7">
      <w:t>9</w:t>
    </w:r>
    <w:r w:rsidR="0080786C">
      <w:t xml:space="preserve"> de 2011</w:t>
    </w:r>
  </w:p>
  <w:p w:rsidR="0046164F" w:rsidRDefault="00EB3D3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672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CA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EB3"/>
    <w:rsid w:val="004F7471"/>
    <w:rsid w:val="005000FE"/>
    <w:rsid w:val="00500391"/>
    <w:rsid w:val="005008F6"/>
    <w:rsid w:val="0050135C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5550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316"/>
    <w:rsid w:val="00703446"/>
    <w:rsid w:val="00704FF8"/>
    <w:rsid w:val="00705786"/>
    <w:rsid w:val="00705BEF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6CAF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13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7E4"/>
    <w:rsid w:val="008F6A52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98C"/>
    <w:rsid w:val="009F1BA6"/>
    <w:rsid w:val="009F20A0"/>
    <w:rsid w:val="009F23DB"/>
    <w:rsid w:val="009F2728"/>
    <w:rsid w:val="009F2A66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0939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32B"/>
    <w:rsid w:val="00E43728"/>
    <w:rsid w:val="00E43B84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3D33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Contrapartida383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eb.ifac.org/download/PIAC-Due_Process_and_Working_Procedure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s.org/How+we+develop+standards/How+we+develop+standards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sp.presidencia.gov.co/Normativa/Decretos/2011/Documents/Agosto/09/dec28200908201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sp.presidencia.gov.co/Normativa/Decretos/2011/Documents/Julio/27/dec264527072011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B420-553D-4A07-8FBB-D6D93071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2011-08-28T23:18:00Z</dcterms:created>
  <dcterms:modified xsi:type="dcterms:W3CDTF">2011-08-28T23:28:00Z</dcterms:modified>
</cp:coreProperties>
</file>