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B07E" w14:textId="3E3BF5C3" w:rsidR="00526C6D" w:rsidRPr="00526C6D" w:rsidRDefault="00526C6D" w:rsidP="00526C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526C6D">
        <w:rPr>
          <w:position w:val="-8"/>
          <w:sz w:val="122"/>
        </w:rPr>
        <w:t>H</w:t>
      </w:r>
    </w:p>
    <w:p w14:paraId="245EFAF1" w14:textId="52CC643A" w:rsidR="00526C6D" w:rsidRDefault="00526C6D" w:rsidP="00526C6D">
      <w:r>
        <w:t xml:space="preserve">emos sostenido que la revisoría fiscal, que es la auditoría estatutaria en Colombia, tiene que realizar tres </w:t>
      </w:r>
      <w:r w:rsidR="002D4661">
        <w:t>trabajos</w:t>
      </w:r>
      <w:r>
        <w:t xml:space="preserve"> para poder contestar con fundamento las preguntas que le formulan los artículos 208 y 209 del </w:t>
      </w:r>
      <w:hyperlink r:id="rId8" w:history="1">
        <w:r w:rsidRPr="002D4661">
          <w:rPr>
            <w:rStyle w:val="Hipervnculo"/>
          </w:rPr>
          <w:t>Código de Comercio</w:t>
        </w:r>
      </w:hyperlink>
      <w:r>
        <w:t xml:space="preserve">. En la actualidad nuestro </w:t>
      </w:r>
      <w:hyperlink r:id="rId9" w:anchor="1" w:history="1">
        <w:r w:rsidRPr="00D635DA">
          <w:rPr>
            <w:rStyle w:val="Hipervnculo"/>
          </w:rPr>
          <w:t>derecho contable</w:t>
        </w:r>
      </w:hyperlink>
      <w:r>
        <w:t xml:space="preserve"> dispone: “(…) </w:t>
      </w:r>
      <w:r w:rsidRPr="002D4661">
        <w:rPr>
          <w:i/>
        </w:rPr>
        <w:t>los revisores fiscales que dictaminen estados financieros consolidados de estas entidades, aplicarán las NIA contenidas en el anexo 4, o el anexo que lo modifique o adicione, de dicho Decreto 2420 de 2015, en cumplimiento de las responsabilidades contenidas en los artículos 207, numeral 7º, y 208 del Código de Comercio, en relación con el dictamen de los estados financieros, y aplicarán las ISAE contenidas en dicho anexo 4, o el anexo que lo modifique o adicione, en desarrollo de las responsabilidades contenidas en el artículo 209 del Código de Comercio, relacionadas con la evaluación del cumplimiento de las disposiciones estatutarias y de la asamblea o junta de socios y con la evaluación del control interno</w:t>
      </w:r>
      <w:r>
        <w:t xml:space="preserve"> (…)”</w:t>
      </w:r>
      <w:r w:rsidR="002D4661">
        <w:t>.</w:t>
      </w:r>
    </w:p>
    <w:p w14:paraId="0C06C3AD" w14:textId="062DDB3E" w:rsidR="002D4661" w:rsidRDefault="002D4661" w:rsidP="00526C6D">
      <w:r>
        <w:t>Todas las auditorías están cubiertas por el marco internacional de trabajo para los servicios de aseguramiento y por la norma internacional de control de calidad. En todos los casos se utiliza el enfoque de evaluación de los riesgos y de los controles, determinación de la materialidad, procedimientos enfocados sobre los riesgos no controlados, consideración de la totalidad de la evidencia, conclusión, preparación y difusión de un informe.</w:t>
      </w:r>
    </w:p>
    <w:p w14:paraId="45B9BC9A" w14:textId="14B81EDB" w:rsidR="00C73532" w:rsidRDefault="00D635DA" w:rsidP="00526C6D">
      <w:pPr>
        <w:rPr>
          <w:i/>
        </w:rPr>
      </w:pPr>
      <w:r>
        <w:t xml:space="preserve">Una de las tareas más complejas es la determinación de la materialidad de los </w:t>
      </w:r>
      <w:r>
        <w:t>incumplimientos de disposiciones. Al respecto, e</w:t>
      </w:r>
      <w:r w:rsidR="00526C6D">
        <w:t xml:space="preserve">n el </w:t>
      </w:r>
      <w:hyperlink r:id="rId10" w:history="1">
        <w:r w:rsidR="00526C6D" w:rsidRPr="00D635DA">
          <w:rPr>
            <w:rStyle w:val="Hipervnculo"/>
            <w:i/>
          </w:rPr>
          <w:t xml:space="preserve">Standard </w:t>
        </w:r>
        <w:proofErr w:type="spellStart"/>
        <w:r w:rsidR="00526C6D" w:rsidRPr="00D635DA">
          <w:rPr>
            <w:rStyle w:val="Hipervnculo"/>
            <w:i/>
          </w:rPr>
          <w:t>on</w:t>
        </w:r>
        <w:proofErr w:type="spellEnd"/>
        <w:r w:rsidR="00526C6D" w:rsidRPr="00D635DA">
          <w:rPr>
            <w:rStyle w:val="Hipervnculo"/>
            <w:i/>
          </w:rPr>
          <w:t xml:space="preserve"> </w:t>
        </w:r>
        <w:proofErr w:type="spellStart"/>
        <w:r w:rsidR="00526C6D" w:rsidRPr="00D635DA">
          <w:rPr>
            <w:rStyle w:val="Hipervnculo"/>
            <w:i/>
          </w:rPr>
          <w:t>Assurance</w:t>
        </w:r>
        <w:proofErr w:type="spellEnd"/>
        <w:r w:rsidR="00526C6D" w:rsidRPr="00D635DA">
          <w:rPr>
            <w:rStyle w:val="Hipervnculo"/>
            <w:i/>
          </w:rPr>
          <w:t xml:space="preserve"> </w:t>
        </w:r>
        <w:proofErr w:type="spellStart"/>
        <w:r w:rsidR="00526C6D" w:rsidRPr="00D635DA">
          <w:rPr>
            <w:rStyle w:val="Hipervnculo"/>
            <w:i/>
          </w:rPr>
          <w:t>Engagements</w:t>
        </w:r>
        <w:proofErr w:type="spellEnd"/>
        <w:r w:rsidR="00526C6D" w:rsidRPr="00D635DA">
          <w:rPr>
            <w:rStyle w:val="Hipervnculo"/>
            <w:i/>
          </w:rPr>
          <w:t xml:space="preserve"> ASAE 3100 </w:t>
        </w:r>
        <w:proofErr w:type="spellStart"/>
        <w:r w:rsidR="00526C6D" w:rsidRPr="00D635DA">
          <w:rPr>
            <w:rStyle w:val="Hipervnculo"/>
            <w:i/>
          </w:rPr>
          <w:t>Compliance</w:t>
        </w:r>
        <w:proofErr w:type="spellEnd"/>
        <w:r w:rsidR="00526C6D" w:rsidRPr="00D635DA">
          <w:rPr>
            <w:rStyle w:val="Hipervnculo"/>
            <w:i/>
          </w:rPr>
          <w:t xml:space="preserve"> </w:t>
        </w:r>
        <w:proofErr w:type="spellStart"/>
        <w:r w:rsidR="00526C6D" w:rsidRPr="00D635DA">
          <w:rPr>
            <w:rStyle w:val="Hipervnculo"/>
            <w:i/>
          </w:rPr>
          <w:t>Engagements</w:t>
        </w:r>
        <w:proofErr w:type="spellEnd"/>
      </w:hyperlink>
      <w:r w:rsidR="00526C6D">
        <w:t xml:space="preserve">, </w:t>
      </w:r>
      <w:r>
        <w:t>emitido por</w:t>
      </w:r>
      <w:r w:rsidR="00526C6D">
        <w:t xml:space="preserve"> </w:t>
      </w:r>
      <w:proofErr w:type="spellStart"/>
      <w:r w:rsidR="00526C6D">
        <w:t>the</w:t>
      </w:r>
      <w:proofErr w:type="spellEnd"/>
      <w:r w:rsidR="00526C6D">
        <w:t xml:space="preserve"> Auditing and </w:t>
      </w:r>
      <w:proofErr w:type="spellStart"/>
      <w:r w:rsidR="00526C6D">
        <w:t>Assurance</w:t>
      </w:r>
      <w:proofErr w:type="spellEnd"/>
      <w:r w:rsidR="00526C6D">
        <w:t xml:space="preserve"> </w:t>
      </w:r>
      <w:proofErr w:type="spellStart"/>
      <w:r w:rsidR="00526C6D">
        <w:t>Standards</w:t>
      </w:r>
      <w:proofErr w:type="spellEnd"/>
      <w:r w:rsidR="00526C6D">
        <w:t xml:space="preserve"> </w:t>
      </w:r>
      <w:proofErr w:type="spellStart"/>
      <w:r w:rsidR="00526C6D">
        <w:t>Board</w:t>
      </w:r>
      <w:proofErr w:type="spellEnd"/>
      <w:r w:rsidR="00526C6D">
        <w:t>, Australia, se lee: “</w:t>
      </w:r>
      <w:r w:rsidR="00526C6D" w:rsidRPr="00526C6D">
        <w:rPr>
          <w:i/>
        </w:rPr>
        <w:t xml:space="preserve">A29. </w:t>
      </w:r>
      <w:proofErr w:type="spellStart"/>
      <w:r w:rsidR="00526C6D" w:rsidRPr="00526C6D">
        <w:rPr>
          <w:i/>
        </w:rPr>
        <w:t>Quantitative</w:t>
      </w:r>
      <w:proofErr w:type="spellEnd"/>
      <w:r w:rsidR="00526C6D" w:rsidRPr="00526C6D">
        <w:rPr>
          <w:i/>
        </w:rPr>
        <w:t xml:space="preserve"> and </w:t>
      </w:r>
      <w:proofErr w:type="spellStart"/>
      <w:r w:rsidR="00526C6D" w:rsidRPr="00526C6D">
        <w:rPr>
          <w:i/>
        </w:rPr>
        <w:t>qualitative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factors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which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assurance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practitioner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consider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when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assessing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materiality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include</w:t>
      </w:r>
      <w:proofErr w:type="spellEnd"/>
      <w:r w:rsidR="00526C6D" w:rsidRPr="00526C6D">
        <w:rPr>
          <w:i/>
        </w:rPr>
        <w:t xml:space="preserve">: •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magnitude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instances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detected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suspected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matter</w:t>
      </w:r>
      <w:proofErr w:type="spellEnd"/>
      <w:r w:rsidR="00526C6D" w:rsidRPr="00526C6D">
        <w:rPr>
          <w:i/>
        </w:rPr>
        <w:t xml:space="preserve">(s)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non-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with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requirements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financial </w:t>
      </w:r>
      <w:proofErr w:type="spellStart"/>
      <w:r w:rsidR="00526C6D" w:rsidRPr="00526C6D">
        <w:rPr>
          <w:i/>
        </w:rPr>
        <w:t>impact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matter</w:t>
      </w:r>
      <w:proofErr w:type="spellEnd"/>
      <w:r w:rsidR="00526C6D" w:rsidRPr="00526C6D">
        <w:rPr>
          <w:i/>
        </w:rPr>
        <w:t xml:space="preserve">(s)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non-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on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entity</w:t>
      </w:r>
      <w:proofErr w:type="spellEnd"/>
      <w:r w:rsidR="00526C6D" w:rsidRPr="00526C6D">
        <w:rPr>
          <w:i/>
        </w:rPr>
        <w:t xml:space="preserve"> as a </w:t>
      </w:r>
      <w:proofErr w:type="spellStart"/>
      <w:r w:rsidR="00526C6D" w:rsidRPr="00526C6D">
        <w:rPr>
          <w:i/>
        </w:rPr>
        <w:t>whole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nature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matter</w:t>
      </w:r>
      <w:proofErr w:type="spellEnd"/>
      <w:r w:rsidR="00526C6D" w:rsidRPr="00526C6D">
        <w:rPr>
          <w:i/>
        </w:rPr>
        <w:t xml:space="preserve">(s)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non-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– </w:t>
      </w:r>
      <w:proofErr w:type="spellStart"/>
      <w:r w:rsidR="00526C6D" w:rsidRPr="00526C6D">
        <w:rPr>
          <w:i/>
        </w:rPr>
        <w:t>one</w:t>
      </w:r>
      <w:proofErr w:type="spellEnd"/>
      <w:r w:rsidR="00526C6D" w:rsidRPr="00526C6D">
        <w:rPr>
          <w:i/>
        </w:rPr>
        <w:t xml:space="preserve"> off </w:t>
      </w:r>
      <w:proofErr w:type="spellStart"/>
      <w:r w:rsidR="00526C6D" w:rsidRPr="00526C6D">
        <w:rPr>
          <w:i/>
        </w:rPr>
        <w:t>or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systemic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Evidence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a </w:t>
      </w:r>
      <w:proofErr w:type="spellStart"/>
      <w:r w:rsidR="00526C6D" w:rsidRPr="00526C6D">
        <w:rPr>
          <w:i/>
        </w:rPr>
        <w:t>robust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framework</w:t>
      </w:r>
      <w:proofErr w:type="spellEnd"/>
      <w:r w:rsidR="00526C6D" w:rsidRPr="00526C6D">
        <w:rPr>
          <w:i/>
        </w:rPr>
        <w:t xml:space="preserve"> in place </w:t>
      </w:r>
      <w:proofErr w:type="spellStart"/>
      <w:r w:rsidR="00526C6D" w:rsidRPr="00526C6D">
        <w:rPr>
          <w:i/>
        </w:rPr>
        <w:t>to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detect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rectify</w:t>
      </w:r>
      <w:proofErr w:type="spellEnd"/>
      <w:r w:rsidR="00526C6D" w:rsidRPr="00526C6D">
        <w:rPr>
          <w:i/>
        </w:rPr>
        <w:t xml:space="preserve"> and </w:t>
      </w:r>
      <w:proofErr w:type="spellStart"/>
      <w:r w:rsidR="00526C6D" w:rsidRPr="00526C6D">
        <w:rPr>
          <w:i/>
        </w:rPr>
        <w:t>report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matter</w:t>
      </w:r>
      <w:proofErr w:type="spellEnd"/>
      <w:r w:rsidR="00526C6D" w:rsidRPr="00526C6D">
        <w:rPr>
          <w:i/>
        </w:rPr>
        <w:t xml:space="preserve">(s)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non-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Commonly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accepted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practices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within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relevant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industry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nature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relevant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transactions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whether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involve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high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volumes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large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dollar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values</w:t>
      </w:r>
      <w:proofErr w:type="spellEnd"/>
      <w:r w:rsidR="00526C6D" w:rsidRPr="00526C6D">
        <w:rPr>
          <w:i/>
        </w:rPr>
        <w:t xml:space="preserve"> and </w:t>
      </w:r>
      <w:proofErr w:type="spellStart"/>
      <w:r w:rsidR="00526C6D" w:rsidRPr="00526C6D">
        <w:rPr>
          <w:i/>
        </w:rPr>
        <w:t>complex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transactions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relative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to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activity</w:t>
      </w:r>
      <w:proofErr w:type="spellEnd"/>
      <w:r w:rsidR="00526C6D" w:rsidRPr="00526C6D">
        <w:rPr>
          <w:i/>
        </w:rPr>
        <w:t xml:space="preserve"> as a </w:t>
      </w:r>
      <w:proofErr w:type="spellStart"/>
      <w:r w:rsidR="00526C6D" w:rsidRPr="00526C6D">
        <w:rPr>
          <w:i/>
        </w:rPr>
        <w:t>whole</w:t>
      </w:r>
      <w:proofErr w:type="spellEnd"/>
      <w:r w:rsidR="00526C6D" w:rsidRPr="00526C6D">
        <w:rPr>
          <w:i/>
        </w:rPr>
        <w:t xml:space="preserve">. •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extent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interest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shown</w:t>
      </w:r>
      <w:proofErr w:type="spellEnd"/>
      <w:r w:rsidR="00526C6D" w:rsidRPr="00526C6D">
        <w:rPr>
          <w:i/>
        </w:rPr>
        <w:t xml:space="preserve"> in particular </w:t>
      </w:r>
      <w:proofErr w:type="spellStart"/>
      <w:r w:rsidR="00526C6D" w:rsidRPr="00526C6D">
        <w:rPr>
          <w:i/>
        </w:rPr>
        <w:t>aspects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of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compliance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activity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by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for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example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governing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body</w:t>
      </w:r>
      <w:proofErr w:type="spellEnd"/>
      <w:r w:rsidR="00526C6D" w:rsidRPr="00526C6D">
        <w:rPr>
          <w:i/>
        </w:rPr>
        <w:t xml:space="preserve">, </w:t>
      </w:r>
      <w:proofErr w:type="spellStart"/>
      <w:r w:rsidR="00526C6D" w:rsidRPr="00526C6D">
        <w:rPr>
          <w:i/>
        </w:rPr>
        <w:t>regulatory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authorities</w:t>
      </w:r>
      <w:proofErr w:type="spellEnd"/>
      <w:r w:rsidR="00526C6D" w:rsidRPr="00526C6D">
        <w:rPr>
          <w:i/>
        </w:rPr>
        <w:t xml:space="preserve"> and agencies </w:t>
      </w:r>
      <w:proofErr w:type="spellStart"/>
      <w:r w:rsidR="00526C6D" w:rsidRPr="00526C6D">
        <w:rPr>
          <w:i/>
        </w:rPr>
        <w:t>or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the</w:t>
      </w:r>
      <w:proofErr w:type="spellEnd"/>
      <w:r w:rsidR="00526C6D" w:rsidRPr="00526C6D">
        <w:rPr>
          <w:i/>
        </w:rPr>
        <w:t xml:space="preserve"> </w:t>
      </w:r>
      <w:proofErr w:type="spellStart"/>
      <w:r w:rsidR="00526C6D" w:rsidRPr="00526C6D">
        <w:rPr>
          <w:i/>
        </w:rPr>
        <w:t>public</w:t>
      </w:r>
      <w:proofErr w:type="spellEnd"/>
      <w:r w:rsidR="00526C6D" w:rsidRPr="00526C6D">
        <w:rPr>
          <w:i/>
        </w:rPr>
        <w:t>.”</w:t>
      </w:r>
      <w:r>
        <w:rPr>
          <w:i/>
        </w:rPr>
        <w:t>.</w:t>
      </w:r>
    </w:p>
    <w:p w14:paraId="7684694F" w14:textId="29B4ED21" w:rsidR="00D635DA" w:rsidRDefault="00D635DA" w:rsidP="00526C6D">
      <w:r>
        <w:t xml:space="preserve">Entre otras, son materiales las conductas que implican delitos, las que versan de los asuntos que deben someterse a autorización de las autoridades gubernamentales, las que pueden dar lugar a multas, suspensiones, cierres, </w:t>
      </w:r>
      <w:r w:rsidR="004F4FA1">
        <w:t xml:space="preserve">insolvencia, </w:t>
      </w:r>
      <w:r>
        <w:t>tomas de posesión, revocatoria de las licencias o permisos de operación</w:t>
      </w:r>
      <w:r w:rsidR="004F4FA1">
        <w:t>, la reincidencia. Como se sabe en estos informes cabe explicar los criterios utilizados para definir la materialidad.</w:t>
      </w:r>
    </w:p>
    <w:p w14:paraId="1CF9E5A7" w14:textId="08A51989" w:rsidR="004F4FA1" w:rsidRPr="004F4FA1" w:rsidRDefault="004F4FA1" w:rsidP="004F4FA1">
      <w:pPr>
        <w:jc w:val="right"/>
        <w:rPr>
          <w:i/>
        </w:rPr>
      </w:pPr>
      <w:r w:rsidRPr="004F4FA1">
        <w:rPr>
          <w:i/>
        </w:rPr>
        <w:t>Hernando Bermúdez Gómez</w:t>
      </w:r>
    </w:p>
    <w:sectPr w:rsidR="004F4FA1" w:rsidRPr="004F4FA1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C8CB" w14:textId="77777777" w:rsidR="006C7599" w:rsidRDefault="006C7599" w:rsidP="00EE7812">
      <w:pPr>
        <w:spacing w:after="0" w:line="240" w:lineRule="auto"/>
      </w:pPr>
      <w:r>
        <w:separator/>
      </w:r>
    </w:p>
  </w:endnote>
  <w:endnote w:type="continuationSeparator" w:id="0">
    <w:p w14:paraId="68782C25" w14:textId="77777777" w:rsidR="006C7599" w:rsidRDefault="006C75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C4FDE" w14:textId="77777777" w:rsidR="006C7599" w:rsidRDefault="006C7599" w:rsidP="00EE7812">
      <w:pPr>
        <w:spacing w:after="0" w:line="240" w:lineRule="auto"/>
      </w:pPr>
      <w:r>
        <w:separator/>
      </w:r>
    </w:p>
  </w:footnote>
  <w:footnote w:type="continuationSeparator" w:id="0">
    <w:p w14:paraId="55EEC5B8" w14:textId="77777777" w:rsidR="006C7599" w:rsidRDefault="006C75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459C86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586915">
      <w:t>75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6A1208">
      <w:t>26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6C759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3F4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99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0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5A3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Mantenimiento/normas/Norma1.jsp?i=41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asb.gov.au/admin/file/content102/c3/ASAE_3100_Compliance_Engagem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73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E2DD-215C-4A00-B086-4BC8B5B2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2018-11-24T22:04:00Z</dcterms:created>
  <dcterms:modified xsi:type="dcterms:W3CDTF">2018-11-24T22:04:00Z</dcterms:modified>
</cp:coreProperties>
</file>