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75DB8" w14:textId="498BB57B" w:rsidR="00570399" w:rsidRPr="00570399" w:rsidRDefault="00570399" w:rsidP="0057039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570399">
        <w:rPr>
          <w:position w:val="-9"/>
          <w:sz w:val="123"/>
          <w:lang w:val="en-US"/>
        </w:rPr>
        <w:t>L</w:t>
      </w:r>
    </w:p>
    <w:p w14:paraId="3A204B4E" w14:textId="2B0D7001" w:rsidR="005C232E" w:rsidRDefault="00570399" w:rsidP="00AC6FCE">
      <w:pPr>
        <w:rPr>
          <w:lang w:val="es-ES"/>
        </w:rPr>
      </w:pPr>
      <w:r w:rsidRPr="00570399">
        <w:rPr>
          <w:lang w:val="en-US"/>
        </w:rPr>
        <w:t>a ISA 705 dice: “</w:t>
      </w:r>
      <w:r w:rsidRPr="00570399">
        <w:rPr>
          <w:i/>
          <w:lang w:val="en-US"/>
        </w:rPr>
        <w:t>Effective for audits of financial statements for periods ending on or after December 15, 2016</w:t>
      </w:r>
      <w:r>
        <w:rPr>
          <w:lang w:val="en-US"/>
        </w:rPr>
        <w:t xml:space="preserve">”. </w:t>
      </w:r>
      <w:r w:rsidRPr="00570399">
        <w:rPr>
          <w:lang w:val="es-ES"/>
        </w:rPr>
        <w:t>Después del largo tiempo transcurrido en la preparación de la r</w:t>
      </w:r>
      <w:r>
        <w:rPr>
          <w:lang w:val="es-ES"/>
        </w:rPr>
        <w:t xml:space="preserve">eforma de la serie 700, se creería que habría urgencia en poner en vigencia estándares que disminuirían las brechas entre los auditores y el público. </w:t>
      </w:r>
      <w:r w:rsidR="00B7687E">
        <w:rPr>
          <w:lang w:val="es-ES"/>
        </w:rPr>
        <w:t>E</w:t>
      </w:r>
      <w:r>
        <w:rPr>
          <w:lang w:val="es-ES"/>
        </w:rPr>
        <w:t xml:space="preserve">n Colombia, los profesionales de la contabilidad </w:t>
      </w:r>
      <w:r w:rsidR="00B7687E">
        <w:rPr>
          <w:lang w:val="es-ES"/>
        </w:rPr>
        <w:t xml:space="preserve">que participaron en la reunión del </w:t>
      </w:r>
      <w:hyperlink r:id="rId8" w:history="1">
        <w:r w:rsidR="00B7687E" w:rsidRPr="00B7687E">
          <w:rPr>
            <w:rStyle w:val="Hipervnculo"/>
            <w:lang w:val="es-ES"/>
          </w:rPr>
          <w:t>Comité técnico de aseguramiento</w:t>
        </w:r>
      </w:hyperlink>
      <w:r w:rsidR="00B7687E">
        <w:rPr>
          <w:lang w:val="es-ES"/>
        </w:rPr>
        <w:t xml:space="preserve"> </w:t>
      </w:r>
      <w:r>
        <w:rPr>
          <w:lang w:val="es-ES"/>
        </w:rPr>
        <w:t xml:space="preserve">opinaron </w:t>
      </w:r>
      <w:r w:rsidR="00B7687E">
        <w:rPr>
          <w:lang w:val="es-ES"/>
        </w:rPr>
        <w:t xml:space="preserve">el 7 de julio de 2016 </w:t>
      </w:r>
      <w:r>
        <w:rPr>
          <w:lang w:val="es-ES"/>
        </w:rPr>
        <w:t xml:space="preserve">que “(…) </w:t>
      </w:r>
      <w:r w:rsidRPr="00B7687E">
        <w:rPr>
          <w:i/>
          <w:lang w:val="es-ES"/>
        </w:rPr>
        <w:t>Oídos varios puntos de vista, para el Comité resulta claro que la entrada en vigencia de las modificaciones a las NIA propuestas sería el año 2018, es decir cobijaría los contratos y/o compromisos que se suscriban dentro del ejercicio de la Revisoría Fiscal a partir de dicho año. No obstante lo anterior, el Comité</w:t>
      </w:r>
      <w:r w:rsidR="00B7687E" w:rsidRPr="00B7687E">
        <w:rPr>
          <w:i/>
          <w:lang w:val="es-ES"/>
        </w:rPr>
        <w:t xml:space="preserve"> llama la atención sobre la necesidad de coordinar en los trabajos de auditoría, ciertos procesos y planes desde el año 2017, para surtir eficientemente el ejercicio de implementación, que en el 2018 estas nuevas normas demandaría.</w:t>
      </w:r>
      <w:r w:rsidR="00B7687E">
        <w:rPr>
          <w:lang w:val="es-ES"/>
        </w:rPr>
        <w:t xml:space="preserve"> (…)”. Los estándares aludidos se incorporaron al derecho colombiano mediante el </w:t>
      </w:r>
      <w:hyperlink r:id="rId9" w:history="1">
        <w:r w:rsidR="00B7687E" w:rsidRPr="000F21EB">
          <w:rPr>
            <w:rStyle w:val="Hipervnculo"/>
            <w:lang w:val="es-ES"/>
          </w:rPr>
          <w:t>Decreto reglamentario 2170 de 2017</w:t>
        </w:r>
      </w:hyperlink>
      <w:r w:rsidR="00C93F48">
        <w:rPr>
          <w:lang w:val="es-ES"/>
        </w:rPr>
        <w:t>, e</w:t>
      </w:r>
      <w:r w:rsidR="00B7687E">
        <w:rPr>
          <w:lang w:val="es-ES"/>
        </w:rPr>
        <w:t xml:space="preserve">s decir, casi año y medio después de la posición transcrita. En cuanto a la vigencia de dicho decreto se dispuso: “(…) </w:t>
      </w:r>
      <w:r w:rsidR="00B7687E" w:rsidRPr="00B7687E">
        <w:rPr>
          <w:i/>
          <w:lang w:val="es-ES"/>
        </w:rPr>
        <w:t xml:space="preserve">El anexo normativo que hace parte integral del presente decreto y que se incorpora como anexo 4.2. al Decreto 2420 de 2015, se aplicará a partir del 1º de enero del segundo año gravable siguiente al de la publicación del presente decreto, fecha en la cual se modifican parcialmente los anexos técnicos 4 y 4.1 incorporados por los decretos 2420 de 2015 y </w:t>
      </w:r>
      <w:r w:rsidR="00B7687E" w:rsidRPr="00B7687E">
        <w:rPr>
          <w:i/>
          <w:lang w:val="es-ES"/>
        </w:rPr>
        <w:t>2132 de 2016, respectivamente y se permite su aplicación anticipada.</w:t>
      </w:r>
      <w:r w:rsidR="00B7687E">
        <w:rPr>
          <w:lang w:val="es-ES"/>
        </w:rPr>
        <w:t xml:space="preserve"> (…)”. Como el decreto se publicó </w:t>
      </w:r>
      <w:r w:rsidR="00B7687E" w:rsidRPr="00B7687E">
        <w:rPr>
          <w:lang w:val="es-ES"/>
        </w:rPr>
        <w:t>en el Diario Oficial 50.455 del 22 de diciembre del 2017</w:t>
      </w:r>
      <w:r w:rsidR="00B7687E">
        <w:rPr>
          <w:lang w:val="es-ES"/>
        </w:rPr>
        <w:t>, s</w:t>
      </w:r>
      <w:r w:rsidR="00B7687E" w:rsidRPr="00B7687E">
        <w:rPr>
          <w:lang w:val="es-ES"/>
        </w:rPr>
        <w:t xml:space="preserve">u </w:t>
      </w:r>
      <w:r w:rsidR="00C93F48" w:rsidRPr="00B7687E">
        <w:rPr>
          <w:lang w:val="es-ES"/>
        </w:rPr>
        <w:t>entrada en vigor</w:t>
      </w:r>
      <w:r w:rsidR="00B7687E" w:rsidRPr="00B7687E">
        <w:rPr>
          <w:lang w:val="es-ES"/>
        </w:rPr>
        <w:t xml:space="preserve"> es a partir del 1º de enero del 2019</w:t>
      </w:r>
      <w:r w:rsidR="00B7687E">
        <w:rPr>
          <w:lang w:val="es-ES"/>
        </w:rPr>
        <w:t>.</w:t>
      </w:r>
    </w:p>
    <w:p w14:paraId="53FF1756" w14:textId="24A450DF" w:rsidR="00C93F48" w:rsidRDefault="00C93F48" w:rsidP="00AC6FCE">
      <w:pPr>
        <w:rPr>
          <w:lang w:val="es-ES"/>
        </w:rPr>
      </w:pPr>
      <w:r>
        <w:rPr>
          <w:lang w:val="es-ES"/>
        </w:rPr>
        <w:t xml:space="preserve">Aunque </w:t>
      </w:r>
      <w:r w:rsidR="000F21EB">
        <w:rPr>
          <w:lang w:val="es-ES"/>
        </w:rPr>
        <w:t>los estándares</w:t>
      </w:r>
      <w:r>
        <w:rPr>
          <w:lang w:val="es-ES"/>
        </w:rPr>
        <w:t xml:space="preserve"> fueron expedid</w:t>
      </w:r>
      <w:r w:rsidR="000F21EB">
        <w:rPr>
          <w:lang w:val="es-ES"/>
        </w:rPr>
        <w:t>o</w:t>
      </w:r>
      <w:r>
        <w:rPr>
          <w:lang w:val="es-ES"/>
        </w:rPr>
        <w:t>s en 2015, todavía muchos contadore</w:t>
      </w:r>
      <w:r w:rsidR="00B92160">
        <w:rPr>
          <w:lang w:val="es-ES"/>
        </w:rPr>
        <w:t>s no están listos para aplicarlo</w:t>
      </w:r>
      <w:bookmarkStart w:id="0" w:name="_GoBack"/>
      <w:bookmarkEnd w:id="0"/>
      <w:r>
        <w:rPr>
          <w:lang w:val="es-ES"/>
        </w:rPr>
        <w:t>s. La urgencia de mejorar el servicio no existe o, al menos, hay otras cuestiones de mayor importancia.</w:t>
      </w:r>
      <w:r w:rsidR="000F21EB">
        <w:rPr>
          <w:lang w:val="es-ES"/>
        </w:rPr>
        <w:t xml:space="preserve"> Esto nos llama la atención, especialmente respecto de las </w:t>
      </w:r>
      <w:r w:rsidR="0089447A">
        <w:rPr>
          <w:lang w:val="es-ES"/>
        </w:rPr>
        <w:t>compañías</w:t>
      </w:r>
      <w:r w:rsidR="000F21EB">
        <w:rPr>
          <w:lang w:val="es-ES"/>
        </w:rPr>
        <w:t xml:space="preserve"> que forman parte del </w:t>
      </w:r>
      <w:hyperlink r:id="rId10" w:history="1">
        <w:r w:rsidR="000F21EB" w:rsidRPr="000F21EB">
          <w:rPr>
            <w:rStyle w:val="Hipervnculo"/>
            <w:lang w:val="es-ES"/>
          </w:rPr>
          <w:t>Foro de Firmas</w:t>
        </w:r>
      </w:hyperlink>
      <w:r w:rsidR="000F21EB">
        <w:rPr>
          <w:lang w:val="es-ES"/>
        </w:rPr>
        <w:t xml:space="preserve"> organizado en torno a </w:t>
      </w:r>
      <w:proofErr w:type="spellStart"/>
      <w:r w:rsidR="000F21EB" w:rsidRPr="000F21EB">
        <w:rPr>
          <w:smallCaps/>
          <w:lang w:val="es-ES"/>
        </w:rPr>
        <w:t>Ifac</w:t>
      </w:r>
      <w:proofErr w:type="spellEnd"/>
      <w:r w:rsidR="000F21EB">
        <w:rPr>
          <w:lang w:val="es-ES"/>
        </w:rPr>
        <w:t>.</w:t>
      </w:r>
    </w:p>
    <w:p w14:paraId="555BB36D" w14:textId="58E087BA" w:rsidR="00C93F48" w:rsidRDefault="00C93F48" w:rsidP="00AC6FCE">
      <w:pPr>
        <w:rPr>
          <w:lang w:val="es-ES"/>
        </w:rPr>
      </w:pPr>
      <w:r>
        <w:rPr>
          <w:lang w:val="es-ES"/>
        </w:rPr>
        <w:t>No es posible establecer en qué momento se encontrarán los trabajos cuando entr</w:t>
      </w:r>
      <w:r w:rsidR="00EB291B">
        <w:rPr>
          <w:lang w:val="es-ES"/>
        </w:rPr>
        <w:t>e</w:t>
      </w:r>
      <w:r>
        <w:rPr>
          <w:lang w:val="es-ES"/>
        </w:rPr>
        <w:t xml:space="preserve"> en vigor una estándar internacional. Unos pueden estar terminando y otros empezando.</w:t>
      </w:r>
      <w:r w:rsidR="00EB291B">
        <w:rPr>
          <w:lang w:val="es-ES"/>
        </w:rPr>
        <w:t xml:space="preserve"> En todo caso la publicación anticipada de la norma permite a cualquier profesional diligente planear su oportuna aplicación.</w:t>
      </w:r>
      <w:r w:rsidR="008C5C7F">
        <w:rPr>
          <w:lang w:val="es-ES"/>
        </w:rPr>
        <w:t xml:space="preserve"> Tal es el caso de Colombia. Todo el año 2018 </w:t>
      </w:r>
      <w:r w:rsidR="00BF2DD3">
        <w:rPr>
          <w:lang w:val="es-ES"/>
        </w:rPr>
        <w:t>era</w:t>
      </w:r>
      <w:r w:rsidR="008C5C7F">
        <w:rPr>
          <w:lang w:val="es-ES"/>
        </w:rPr>
        <w:t xml:space="preserve"> un lapso más que suficiente para prepararse a dar cumplimiento a normas que entrarán en vigor en el 2019.</w:t>
      </w:r>
    </w:p>
    <w:p w14:paraId="08CF95C0" w14:textId="621C87BB" w:rsidR="008C5C7F" w:rsidRDefault="000F21EB" w:rsidP="00AC6FCE">
      <w:pPr>
        <w:rPr>
          <w:lang w:val="es-ES"/>
        </w:rPr>
      </w:pPr>
      <w:r>
        <w:rPr>
          <w:lang w:val="es-ES"/>
        </w:rPr>
        <w:t xml:space="preserve">El Gobierno Nacional puede anticipar o demorar la vigencia de una norma. Es decir, la vacancia puede ser más o menos larga. Hasta el momento ha utilizado el plazo general contenido en la </w:t>
      </w:r>
      <w:hyperlink r:id="rId11" w:history="1">
        <w:r w:rsidRPr="000F21EB">
          <w:rPr>
            <w:rStyle w:val="Hipervnculo"/>
            <w:lang w:val="es-ES"/>
          </w:rPr>
          <w:t>Ley 1314 de 2009</w:t>
        </w:r>
      </w:hyperlink>
      <w:r>
        <w:rPr>
          <w:lang w:val="es-ES"/>
        </w:rPr>
        <w:t>.</w:t>
      </w:r>
      <w:r w:rsidR="00BF2DD3">
        <w:rPr>
          <w:lang w:val="es-ES"/>
        </w:rPr>
        <w:t xml:space="preserve"> Las normas expedidas ya existen, ya han sido promulgadas, ya pueden ser conocidas. Rara vez, aunque ha sucedido, se reforman antes de empezar su vigencia.</w:t>
      </w:r>
    </w:p>
    <w:p w14:paraId="7B900A8B" w14:textId="4B98BF46" w:rsidR="00AE02D5" w:rsidRDefault="00AE02D5" w:rsidP="00AC6FCE">
      <w:pPr>
        <w:rPr>
          <w:lang w:val="es-ES"/>
        </w:rPr>
      </w:pPr>
      <w:r>
        <w:rPr>
          <w:lang w:val="es-ES"/>
        </w:rPr>
        <w:t>Lamentablemente muchas veces dejamos las cosas para el final.</w:t>
      </w:r>
    </w:p>
    <w:p w14:paraId="3DEEB7CC" w14:textId="33B53528" w:rsidR="00AE02D5" w:rsidRPr="00AE02D5" w:rsidRDefault="00AE02D5" w:rsidP="00AE02D5">
      <w:pPr>
        <w:jc w:val="right"/>
        <w:rPr>
          <w:i/>
          <w:lang w:val="es-ES"/>
        </w:rPr>
      </w:pPr>
      <w:r w:rsidRPr="00AE02D5">
        <w:rPr>
          <w:i/>
          <w:lang w:val="es-ES"/>
        </w:rPr>
        <w:t>Hernando Bermúdez Gómez</w:t>
      </w:r>
    </w:p>
    <w:sectPr w:rsidR="00AE02D5" w:rsidRPr="00AE02D5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A0B67" w14:textId="77777777" w:rsidR="003745D8" w:rsidRDefault="003745D8" w:rsidP="00EE7812">
      <w:pPr>
        <w:spacing w:after="0" w:line="240" w:lineRule="auto"/>
      </w:pPr>
      <w:r>
        <w:separator/>
      </w:r>
    </w:p>
  </w:endnote>
  <w:endnote w:type="continuationSeparator" w:id="0">
    <w:p w14:paraId="369A71E1" w14:textId="77777777" w:rsidR="003745D8" w:rsidRDefault="003745D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5DC38" w14:textId="77777777" w:rsidR="003745D8" w:rsidRDefault="003745D8" w:rsidP="00EE7812">
      <w:pPr>
        <w:spacing w:after="0" w:line="240" w:lineRule="auto"/>
      </w:pPr>
      <w:r>
        <w:separator/>
      </w:r>
    </w:p>
  </w:footnote>
  <w:footnote w:type="continuationSeparator" w:id="0">
    <w:p w14:paraId="27AD316D" w14:textId="77777777" w:rsidR="003745D8" w:rsidRDefault="003745D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3C59BC1F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6D5405">
      <w:t>9</w:t>
    </w:r>
    <w:r w:rsidR="00AC6FCE">
      <w:t>3</w:t>
    </w:r>
    <w:r w:rsidR="00BA1897">
      <w:t>,</w:t>
    </w:r>
    <w:r w:rsidR="00C5117D">
      <w:t xml:space="preserve"> </w:t>
    </w:r>
    <w:r w:rsidR="00D83EFF">
      <w:t>diciembre 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3745D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8A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B7F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5D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CBB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99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60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63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6B9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mite/DOC_CTCP_1_37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veriana.edu.co/personales/hbermude/leycontable/contadores/2009-ley-1314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fac.org/about-ifac/forum-firms-and-transnational-auditors-committee/forum-firms-member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2017-decreto-217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0AA07-7043-4AEA-A810-5A095298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2945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3474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3</cp:revision>
  <cp:lastPrinted>2015-11-17T13:48:00Z</cp:lastPrinted>
  <dcterms:created xsi:type="dcterms:W3CDTF">2018-12-03T14:50:00Z</dcterms:created>
  <dcterms:modified xsi:type="dcterms:W3CDTF">2018-12-03T14:51:00Z</dcterms:modified>
</cp:coreProperties>
</file>