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A" w:rsidRPr="00DD1DBA" w:rsidRDefault="00DD1DBA" w:rsidP="00DD1DB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DD1DBA">
        <w:rPr>
          <w:rFonts w:cs="Calibri"/>
          <w:position w:val="-8"/>
          <w:sz w:val="123"/>
        </w:rPr>
        <w:t>P</w:t>
      </w:r>
    </w:p>
    <w:p w:rsidR="00DD1DBA" w:rsidRPr="00DD1DBA" w:rsidRDefault="00DD1DBA" w:rsidP="00DD1DBA">
      <w:r w:rsidRPr="00DD1DBA">
        <w:t xml:space="preserve">ara algunos a paso lento, para otros de forma muy apresurada, el Consejo Técnico de la Contaduría Pública sigue </w:t>
      </w:r>
      <w:r w:rsidR="008132D7">
        <w:t>ejecutando</w:t>
      </w:r>
      <w:r w:rsidRPr="00DD1DBA">
        <w:t xml:space="preserve"> </w:t>
      </w:r>
      <w:r>
        <w:t>un</w:t>
      </w:r>
      <w:r w:rsidRPr="00DD1DBA">
        <w:t xml:space="preserve"> proceso de convergencia hacia estándares de contabilidad financiera y de aseguramiento de información</w:t>
      </w:r>
      <w:r w:rsidR="008132D7">
        <w:t xml:space="preserve"> de aceptación mundial</w:t>
      </w:r>
      <w:r w:rsidRPr="00DD1DBA">
        <w:t xml:space="preserve">. (Aunque los principales avances se centran en los estándares sobre información financiera). </w:t>
      </w:r>
    </w:p>
    <w:p w:rsidR="00DD1DBA" w:rsidRPr="00DD1DBA" w:rsidRDefault="00DD1DBA" w:rsidP="00DD1DBA">
      <w:r w:rsidRPr="00DD1DBA">
        <w:t xml:space="preserve">Debo mencionar que </w:t>
      </w:r>
      <w:hyperlink r:id="rId9" w:history="1">
        <w:r w:rsidRPr="00DD1DBA">
          <w:rPr>
            <w:rStyle w:val="Hyperlink"/>
          </w:rPr>
          <w:t>también</w:t>
        </w:r>
      </w:hyperlink>
      <w:r w:rsidRPr="00DD1DBA">
        <w:t xml:space="preserve"> considero bastante corto el plazo previsto para</w:t>
      </w:r>
      <w:r w:rsidR="008132D7">
        <w:t xml:space="preserve"> comentar</w:t>
      </w:r>
      <w:r w:rsidRPr="00DD1DBA">
        <w:t xml:space="preserve"> las normas de las entidades del grupo 1</w:t>
      </w:r>
      <w:r w:rsidR="00A25DCE">
        <w:t>,</w:t>
      </w:r>
      <w:r w:rsidRPr="00DD1DBA">
        <w:t xml:space="preserve"> que planteó el Consejo Técnico de la Contaduría Pública en su cronograma.</w:t>
      </w:r>
    </w:p>
    <w:p w:rsidR="00DD1DBA" w:rsidRPr="00DD1DBA" w:rsidRDefault="00DD1DBA" w:rsidP="00DD1DBA">
      <w:r w:rsidRPr="00DD1DBA">
        <w:t xml:space="preserve">A propósito del tema, creo que un interesante ejemplo de cómo evaluar los efectos de una norma contable, lo ofrece </w:t>
      </w:r>
      <w:r w:rsidR="00A25DCE">
        <w:t xml:space="preserve">el </w:t>
      </w:r>
      <w:proofErr w:type="spellStart"/>
      <w:r w:rsidRPr="00DD1DBA">
        <w:rPr>
          <w:i/>
        </w:rPr>
        <w:t>Staff</w:t>
      </w:r>
      <w:proofErr w:type="spellEnd"/>
      <w:r w:rsidRPr="00DD1DBA">
        <w:t xml:space="preserve"> de la Fundación IFRS en su reciente </w:t>
      </w:r>
      <w:hyperlink r:id="rId10" w:history="1">
        <w:proofErr w:type="spellStart"/>
        <w:r w:rsidRPr="00DD1DBA">
          <w:rPr>
            <w:rStyle w:val="Hyperlink"/>
            <w:i/>
          </w:rPr>
          <w:t>effect</w:t>
        </w:r>
        <w:proofErr w:type="spellEnd"/>
        <w:r w:rsidRPr="00DD1DBA">
          <w:rPr>
            <w:rStyle w:val="Hyperlink"/>
            <w:i/>
          </w:rPr>
          <w:t xml:space="preserve"> </w:t>
        </w:r>
        <w:proofErr w:type="spellStart"/>
        <w:r w:rsidRPr="00DD1DBA">
          <w:rPr>
            <w:rStyle w:val="Hyperlink"/>
            <w:i/>
          </w:rPr>
          <w:t>analysis</w:t>
        </w:r>
        <w:proofErr w:type="spellEnd"/>
      </w:hyperlink>
      <w:r w:rsidRPr="00DD1DBA">
        <w:t xml:space="preserve"> de la NIIF 10 y NIIF 12:</w:t>
      </w:r>
    </w:p>
    <w:p w:rsidR="00DD1DBA" w:rsidRPr="00DD1DBA" w:rsidRDefault="00DD1DBA" w:rsidP="00DD1DBA">
      <w:pPr>
        <w:rPr>
          <w:i/>
          <w:lang w:val="en-US"/>
        </w:rPr>
      </w:pPr>
      <w:r w:rsidRPr="00DD1DBA">
        <w:rPr>
          <w:i/>
          <w:lang w:val="en-US"/>
        </w:rPr>
        <w:t>“We expect our standards to have economic effects, and we understand that those effects may be beneficial for some entities and detrimental to others. For example, a change in financial reporting requirements might affect the cost of capital for individual entities by changing the absolute or relative level of information asymmetry associated with those entities.”</w:t>
      </w:r>
    </w:p>
    <w:p w:rsidR="00DD1DBA" w:rsidRPr="00DD1DBA" w:rsidRDefault="00DD1DBA" w:rsidP="00DD1DBA">
      <w:pPr>
        <w:rPr>
          <w:i/>
          <w:lang w:val="en-US"/>
        </w:rPr>
      </w:pPr>
      <w:r w:rsidRPr="00DD1DBA">
        <w:rPr>
          <w:i/>
          <w:lang w:val="en-US"/>
        </w:rPr>
        <w:t>We assess these associated costs and benefits by reference to the overall objective of financial reporting.”</w:t>
      </w:r>
    </w:p>
    <w:p w:rsidR="00DD1DBA" w:rsidRPr="00DD1DBA" w:rsidRDefault="00DD1DBA" w:rsidP="00DD1DBA">
      <w:r w:rsidRPr="00DD1DBA">
        <w:t xml:space="preserve">El documento reconoce algunas limitaciones del análisis tales como las diversas circunstancias geográficas y transaccionales que pueden encontrarse alrededor del mundo o la incertidumbre inherente a una </w:t>
      </w:r>
      <w:r w:rsidRPr="00DD1DBA">
        <w:lastRenderedPageBreak/>
        <w:t xml:space="preserve">evaluación que se hace antes de que una NIIF o una modificación a una NIIF existente sean aplicadas. </w:t>
      </w:r>
    </w:p>
    <w:p w:rsidR="00DD1DBA" w:rsidRPr="00DD1DBA" w:rsidRDefault="00DD1DBA" w:rsidP="00DD1DBA">
      <w:r w:rsidRPr="00DD1DBA">
        <w:t>Sobre lo anterior, el documento presenta un párrafo que llamó poderosamente mi atención:</w:t>
      </w:r>
    </w:p>
    <w:p w:rsidR="00DD1DBA" w:rsidRPr="00DD1DBA" w:rsidRDefault="00DD1DBA" w:rsidP="00DD1DBA">
      <w:pPr>
        <w:rPr>
          <w:i/>
          <w:lang w:val="en-US"/>
        </w:rPr>
      </w:pPr>
      <w:r w:rsidRPr="00DD1DBA">
        <w:rPr>
          <w:lang w:val="en-US"/>
        </w:rPr>
        <w:t>“</w:t>
      </w:r>
      <w:r w:rsidRPr="00DD1DBA">
        <w:rPr>
          <w:i/>
          <w:lang w:val="en-US"/>
        </w:rPr>
        <w:t>In the longer term, we encourage academic</w:t>
      </w:r>
      <w:r w:rsidR="00A25DCE">
        <w:rPr>
          <w:i/>
          <w:lang w:val="en-US"/>
        </w:rPr>
        <w:t xml:space="preserve"> </w:t>
      </w:r>
      <w:r w:rsidRPr="00DD1DBA">
        <w:rPr>
          <w:i/>
          <w:lang w:val="en-US"/>
        </w:rPr>
        <w:t>researchers to perform empirical research into the way in which our standards are incorporated</w:t>
      </w:r>
      <w:r w:rsidR="00A25DCE">
        <w:rPr>
          <w:i/>
          <w:lang w:val="en-US"/>
        </w:rPr>
        <w:t xml:space="preserve"> </w:t>
      </w:r>
      <w:r w:rsidRPr="00DD1DBA">
        <w:rPr>
          <w:i/>
          <w:lang w:val="en-US"/>
        </w:rPr>
        <w:t>into economic decisions. Some studies focus on the role of accounting information in the capital</w:t>
      </w:r>
      <w:r w:rsidR="00A25DCE">
        <w:rPr>
          <w:i/>
          <w:lang w:val="en-US"/>
        </w:rPr>
        <w:t xml:space="preserve"> </w:t>
      </w:r>
      <w:r w:rsidRPr="00DD1DBA">
        <w:rPr>
          <w:i/>
          <w:lang w:val="en-US"/>
        </w:rPr>
        <w:t>markets, thereby providing us with insights into how</w:t>
      </w:r>
      <w:r w:rsidR="00A25DCE">
        <w:rPr>
          <w:i/>
          <w:lang w:val="en-US"/>
        </w:rPr>
        <w:t xml:space="preserve"> </w:t>
      </w:r>
      <w:r w:rsidRPr="00DD1DBA">
        <w:rPr>
          <w:i/>
          <w:lang w:val="en-US"/>
        </w:rPr>
        <w:t>accounting information is incorporated into share</w:t>
      </w:r>
      <w:r w:rsidR="00A25DCE">
        <w:rPr>
          <w:i/>
          <w:lang w:val="en-US"/>
        </w:rPr>
        <w:t xml:space="preserve"> </w:t>
      </w:r>
      <w:r w:rsidRPr="00DD1DBA">
        <w:rPr>
          <w:i/>
          <w:lang w:val="en-US"/>
        </w:rPr>
        <w:t xml:space="preserve">prices. Other studies focus on how changes to IFRSs affect the </w:t>
      </w:r>
      <w:proofErr w:type="spellStart"/>
      <w:r w:rsidRPr="00DD1DBA">
        <w:rPr>
          <w:i/>
          <w:lang w:val="en-US"/>
        </w:rPr>
        <w:t>behaviour</w:t>
      </w:r>
      <w:proofErr w:type="spellEnd"/>
      <w:r w:rsidRPr="00DD1DBA">
        <w:rPr>
          <w:i/>
          <w:lang w:val="en-US"/>
        </w:rPr>
        <w:t xml:space="preserve"> of parties, such as management.</w:t>
      </w:r>
    </w:p>
    <w:p w:rsidR="00DD1DBA" w:rsidRPr="00DD1DBA" w:rsidRDefault="00DD1DBA" w:rsidP="00DD1DBA">
      <w:pPr>
        <w:rPr>
          <w:i/>
          <w:lang w:val="en-US"/>
        </w:rPr>
      </w:pPr>
      <w:r w:rsidRPr="00DD1DBA">
        <w:rPr>
          <w:i/>
          <w:lang w:val="en-US"/>
        </w:rPr>
        <w:t>We expect to consider relevant research as part of our post</w:t>
      </w:r>
      <w:r w:rsidRPr="00DD1DBA">
        <w:rPr>
          <w:rFonts w:ascii="MS Gothic" w:eastAsia="MS Gothic" w:hAnsi="MS Gothic" w:cs="MS Gothic" w:hint="eastAsia"/>
          <w:i/>
          <w:lang w:val="en-US"/>
        </w:rPr>
        <w:t>‑</w:t>
      </w:r>
      <w:r w:rsidRPr="00DD1DBA">
        <w:rPr>
          <w:i/>
          <w:lang w:val="en-US"/>
        </w:rPr>
        <w:t>implementation review.”</w:t>
      </w:r>
    </w:p>
    <w:p w:rsidR="00DD1DBA" w:rsidRPr="00DD1DBA" w:rsidRDefault="00DD1DBA" w:rsidP="00DD1DBA">
      <w:r w:rsidRPr="00DD1DBA">
        <w:t>Esta afirmación de IASB genera reflexiones en dos sentidos:</w:t>
      </w:r>
    </w:p>
    <w:p w:rsidR="00DD1DBA" w:rsidRPr="00DD1DBA" w:rsidRDefault="00DD1DBA" w:rsidP="00DD1DBA">
      <w:r w:rsidRPr="00DD1DBA">
        <w:t xml:space="preserve">1. Debería asumirse como un llamado a los reguladores contables a considerar la literatura contable investigativa como una fuente de información valiosa para su labor. </w:t>
      </w:r>
    </w:p>
    <w:p w:rsidR="00DD1DBA" w:rsidRPr="00DD1DBA" w:rsidRDefault="00DD1DBA" w:rsidP="00DD1DBA">
      <w:r w:rsidRPr="00DD1DBA">
        <w:t xml:space="preserve">2. Debería asumirse como un llamado a la academia a participar más activamente mediante la investigación, al mejoramiento de las normas contables tanto nacionales como internacionales. </w:t>
      </w:r>
    </w:p>
    <w:p w:rsidR="00DD1DBA" w:rsidRPr="00DD1DBA" w:rsidRDefault="00DD1DBA" w:rsidP="00DD1DBA">
      <w:r w:rsidRPr="00DD1DBA">
        <w:t xml:space="preserve">Creo que la academia colombiana debe cumplir un rol mucho más amplio </w:t>
      </w:r>
      <w:r w:rsidR="00E432CB">
        <w:t>que el</w:t>
      </w:r>
      <w:r w:rsidRPr="00DD1DBA">
        <w:t xml:space="preserve"> de la socialización y difusión de las normas. </w:t>
      </w:r>
      <w:bookmarkStart w:id="0" w:name="_GoBack"/>
      <w:bookmarkEnd w:id="0"/>
    </w:p>
    <w:p w:rsidR="00985370" w:rsidRPr="005B3BF5" w:rsidRDefault="00DD1DBA" w:rsidP="00DD1DBA">
      <w:pPr>
        <w:jc w:val="right"/>
      </w:pPr>
      <w:r w:rsidRPr="00DD1DBA">
        <w:rPr>
          <w:i/>
        </w:rPr>
        <w:t>Edgar Emilio Salazar Baquero</w:t>
      </w:r>
    </w:p>
    <w:sectPr w:rsidR="00985370" w:rsidRPr="005B3BF5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31" w:rsidRDefault="00737C31" w:rsidP="00EE7812">
      <w:pPr>
        <w:spacing w:after="0" w:line="240" w:lineRule="auto"/>
      </w:pPr>
      <w:r>
        <w:separator/>
      </w:r>
    </w:p>
  </w:endnote>
  <w:endnote w:type="continuationSeparator" w:id="0">
    <w:p w:rsidR="00737C31" w:rsidRDefault="00737C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31" w:rsidRDefault="00737C31" w:rsidP="00EE7812">
      <w:pPr>
        <w:spacing w:after="0" w:line="240" w:lineRule="auto"/>
      </w:pPr>
      <w:r>
        <w:separator/>
      </w:r>
    </w:p>
  </w:footnote>
  <w:footnote w:type="continuationSeparator" w:id="0">
    <w:p w:rsidR="00737C31" w:rsidRDefault="00737C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40</w:t>
    </w:r>
    <w:r w:rsidR="005B3BF5">
      <w:t>6</w:t>
    </w:r>
    <w:r w:rsidR="009D09BB">
      <w:t xml:space="preserve">, </w:t>
    </w:r>
    <w:r w:rsidR="00F70A1E">
      <w:t xml:space="preserve">septiembre </w:t>
    </w:r>
    <w:r w:rsidR="000E09D8">
      <w:t>1</w:t>
    </w:r>
    <w:r w:rsidR="00440BEF">
      <w:t>9</w:t>
    </w:r>
    <w:r w:rsidR="0005771D">
      <w:t xml:space="preserve"> </w:t>
    </w:r>
    <w:r w:rsidR="0080786C">
      <w:t>de 2011</w:t>
    </w:r>
  </w:p>
  <w:p w:rsidR="0046164F" w:rsidRDefault="00737C3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14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539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275FA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F25"/>
    <w:rsid w:val="0054381B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37C3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2D7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4A5"/>
    <w:rsid w:val="00947B3D"/>
    <w:rsid w:val="00950040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482D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5DCE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9B8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35F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49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3C93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DBA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2CB"/>
    <w:rsid w:val="00E4332B"/>
    <w:rsid w:val="00E43728"/>
    <w:rsid w:val="00E43B84"/>
    <w:rsid w:val="00E43E00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frs.org/NR/rdonlyres/B8C43BF6-EB8B-4275-95FE-EE77335D5E51/0/consolidationeffectanalysis060920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9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5B83-F2A5-4E3F-8908-53F8D32B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2011-09-18T21:17:00Z</dcterms:created>
  <dcterms:modified xsi:type="dcterms:W3CDTF">2011-09-18T21:23:00Z</dcterms:modified>
</cp:coreProperties>
</file>