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3F" w:rsidRPr="0054743F" w:rsidRDefault="0054743F" w:rsidP="0054743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4743F">
        <w:rPr>
          <w:rFonts w:cs="Calibri"/>
          <w:position w:val="-9"/>
          <w:sz w:val="123"/>
        </w:rPr>
        <w:t>E</w:t>
      </w:r>
    </w:p>
    <w:p w:rsidR="0054743F" w:rsidRPr="0054743F" w:rsidRDefault="0054743F" w:rsidP="0054743F">
      <w:r w:rsidRPr="0054743F">
        <w:t xml:space="preserve">l capítulo VI de la Circular Básica Contable y Financiera 100 de 1995, </w:t>
      </w:r>
      <w:r w:rsidR="00A17BA6">
        <w:t>según se lee en</w:t>
      </w:r>
      <w:r w:rsidRPr="0054743F">
        <w:t xml:space="preserve"> la Circular Externa No. 042</w:t>
      </w:r>
      <w:r w:rsidR="00A17BA6">
        <w:t xml:space="preserve"> </w:t>
      </w:r>
      <w:r w:rsidRPr="0054743F">
        <w:t xml:space="preserve">de 2009, define el riesgo de liquidez como </w:t>
      </w:r>
      <w:r w:rsidRPr="0054743F">
        <w:rPr>
          <w:i/>
        </w:rPr>
        <w:t>“la contingencia de una entidad de no poder cumplir de manera plena y oportuna con las obligaciones de pago en las fechas correspondientes, debido a la insuficiencia de recursos líquidos o a la necesidad de asumir costos inusuales de fondeo”</w:t>
      </w:r>
      <w:r w:rsidRPr="0054743F">
        <w:t>.</w:t>
      </w:r>
    </w:p>
    <w:p w:rsidR="00854543" w:rsidRDefault="0054743F" w:rsidP="0054743F">
      <w:r w:rsidRPr="0054743F">
        <w:t>El riesgo de liquidez conduce a que las entidades</w:t>
      </w:r>
      <w:r w:rsidR="00854543">
        <w:t>,</w:t>
      </w:r>
      <w:r w:rsidRPr="0054743F">
        <w:t xml:space="preserve"> al tener déficit de recursos líquidos</w:t>
      </w:r>
      <w:r w:rsidR="00854543">
        <w:t>,</w:t>
      </w:r>
      <w:r w:rsidRPr="0054743F">
        <w:t xml:space="preserve"> tengan que disponer de otros activos, generando pérdidas como consecuencia de la venta por debajo de su valor en libros.</w:t>
      </w:r>
    </w:p>
    <w:p w:rsidR="0054743F" w:rsidRPr="0054743F" w:rsidRDefault="0054743F" w:rsidP="0054743F">
      <w:r w:rsidRPr="0054743F">
        <w:t xml:space="preserve">Así mismo, esa situación puede </w:t>
      </w:r>
      <w:r w:rsidR="00854543">
        <w:t>generar</w:t>
      </w:r>
      <w:r w:rsidRPr="0054743F">
        <w:t xml:space="preserve"> un riesgo sistemático, al afectar el mercado </w:t>
      </w:r>
      <w:r w:rsidR="009338B9">
        <w:t>con</w:t>
      </w:r>
      <w:r w:rsidRPr="0054743F">
        <w:t xml:space="preserve"> incertidumbre </w:t>
      </w:r>
      <w:r w:rsidR="009338B9">
        <w:t>sobre</w:t>
      </w:r>
      <w:r w:rsidRPr="0054743F">
        <w:t xml:space="preserve"> la estabilidad y viabilidad financiera de las entidades. </w:t>
      </w:r>
    </w:p>
    <w:p w:rsidR="009338B9" w:rsidRDefault="0054743F" w:rsidP="0054743F">
      <w:r w:rsidRPr="0054743F">
        <w:t xml:space="preserve">La Superintendencia Financiera ha definido una serie de criterios para que las entidades vigiladas desarrollen, implementen y gestionen este riesgo a través de un Sistema de Administración de Riesgo de Liquidez (SARL). </w:t>
      </w:r>
    </w:p>
    <w:p w:rsidR="0092471F" w:rsidRDefault="0054743F" w:rsidP="0054743F">
      <w:r w:rsidRPr="0054743F">
        <w:t>El propósito</w:t>
      </w:r>
      <w:r w:rsidR="009338B9">
        <w:t xml:space="preserve"> del SARL</w:t>
      </w:r>
      <w:r w:rsidRPr="0054743F">
        <w:t xml:space="preserve"> es identificar, medir, controlar y monitorear eficazmente </w:t>
      </w:r>
      <w:r w:rsidR="0092471F">
        <w:t>dicho</w:t>
      </w:r>
      <w:r w:rsidRPr="0054743F">
        <w:t xml:space="preserve"> riesgo, así como cuantificar los niveles de liquidez requeridos en la operación de las entidades.</w:t>
      </w:r>
    </w:p>
    <w:p w:rsidR="0054743F" w:rsidRPr="0054743F" w:rsidRDefault="0092471F" w:rsidP="0054743F">
      <w:r>
        <w:t>P</w:t>
      </w:r>
      <w:r w:rsidRPr="0054743F">
        <w:t xml:space="preserve">ara las entidades </w:t>
      </w:r>
      <w:r>
        <w:t>e</w:t>
      </w:r>
      <w:r w:rsidR="0054743F" w:rsidRPr="0054743F">
        <w:t xml:space="preserve">sto implica medir y proyectar los flujos de caja de sus activos, pasivos, posiciones fuera del balance e instrumentos financieros derivados, mediante </w:t>
      </w:r>
      <w:r>
        <w:t xml:space="preserve">técnicas de </w:t>
      </w:r>
      <w:r w:rsidR="0054743F" w:rsidRPr="0054743F">
        <w:t xml:space="preserve">sensibilización y </w:t>
      </w:r>
      <w:r w:rsidR="0054743F" w:rsidRPr="0054743F">
        <w:lastRenderedPageBreak/>
        <w:t>análisis de escenarios que incorporen situaciones tanto de normalidad como de crisis.</w:t>
      </w:r>
    </w:p>
    <w:p w:rsidR="0054743F" w:rsidRPr="0054743F" w:rsidRDefault="0054743F" w:rsidP="0054743F">
      <w:r w:rsidRPr="0054743F">
        <w:t>Se exige</w:t>
      </w:r>
      <w:r w:rsidR="00B938EB">
        <w:t>,</w:t>
      </w:r>
      <w:r w:rsidRPr="0054743F">
        <w:t xml:space="preserve"> también</w:t>
      </w:r>
      <w:r w:rsidR="00B938EB">
        <w:t>,</w:t>
      </w:r>
      <w:r w:rsidRPr="0054743F">
        <w:t xml:space="preserve"> revelación de</w:t>
      </w:r>
      <w:r w:rsidR="00A17BA6">
        <w:t xml:space="preserve"> </w:t>
      </w:r>
      <w:r w:rsidRPr="0054743F">
        <w:t>información cualitativa y cuantitativa sobre el nivel de riego de liquidez y la diferencia entre los flujos de entrada y salida esperados, así como</w:t>
      </w:r>
      <w:r w:rsidR="00B938EB">
        <w:t xml:space="preserve"> de</w:t>
      </w:r>
      <w:r w:rsidRPr="0054743F">
        <w:t xml:space="preserve"> las distintas actividades que la entidad reali</w:t>
      </w:r>
      <w:r w:rsidR="00B938EB">
        <w:t>ce</w:t>
      </w:r>
      <w:r w:rsidRPr="0054743F">
        <w:t xml:space="preserve"> para mejorar su perfil de riesgo de liquidez.</w:t>
      </w:r>
    </w:p>
    <w:p w:rsidR="0054743F" w:rsidRPr="0054743F" w:rsidRDefault="0054743F" w:rsidP="0054743F">
      <w:r w:rsidRPr="0054743F">
        <w:t>Estas revelaciones son un insumo importante en la toma de decisiones, particularmente para los inversionistas.</w:t>
      </w:r>
      <w:r w:rsidR="00A17BA6">
        <w:t xml:space="preserve"> </w:t>
      </w:r>
      <w:r w:rsidRPr="0054743F">
        <w:t xml:space="preserve">Si se observan los requerimientos de revelación de las NIIF, </w:t>
      </w:r>
      <w:r w:rsidR="00B938EB">
        <w:t xml:space="preserve">se concluirá que </w:t>
      </w:r>
      <w:r w:rsidRPr="0054743F">
        <w:t xml:space="preserve">la divulgación sobre la administración y posición de este riesgo contribuye en la calidad y oportunidad de la información financiera. </w:t>
      </w:r>
    </w:p>
    <w:p w:rsidR="0054743F" w:rsidRPr="0054743F" w:rsidRDefault="002F0A32" w:rsidP="0054743F">
      <w:r>
        <w:t>E</w:t>
      </w:r>
      <w:r w:rsidR="0054743F" w:rsidRPr="0054743F">
        <w:t xml:space="preserve">stas directrices </w:t>
      </w:r>
      <w:r>
        <w:t>son</w:t>
      </w:r>
      <w:r w:rsidR="0054743F" w:rsidRPr="0054743F">
        <w:t xml:space="preserve"> un referente de gestión, medición y revelación para entidades de otros sectores.</w:t>
      </w:r>
      <w:r w:rsidR="00A17BA6">
        <w:t xml:space="preserve"> </w:t>
      </w:r>
      <w:r>
        <w:t>I</w:t>
      </w:r>
      <w:r w:rsidR="0054743F" w:rsidRPr="0054743F">
        <w:t>mplica</w:t>
      </w:r>
      <w:r>
        <w:t>n</w:t>
      </w:r>
      <w:r w:rsidR="0054743F" w:rsidRPr="0054743F">
        <w:t xml:space="preserve"> por parte de las entidades transparencia, para garantizar la divulgación de </w:t>
      </w:r>
      <w:r>
        <w:t>los</w:t>
      </w:r>
      <w:r w:rsidR="0054743F" w:rsidRPr="0054743F">
        <w:t xml:space="preserve"> resultados, por encima de los intereses particulares de sus gestores.</w:t>
      </w:r>
    </w:p>
    <w:p w:rsidR="00985370" w:rsidRPr="00B924DD" w:rsidRDefault="0054743F" w:rsidP="002F0A32">
      <w:pPr>
        <w:jc w:val="right"/>
      </w:pPr>
      <w:bookmarkStart w:id="0" w:name="_GoBack"/>
      <w:r w:rsidRPr="0054743F">
        <w:rPr>
          <w:i/>
        </w:rPr>
        <w:t>Martha Liliana Arias Bello</w:t>
      </w:r>
      <w:bookmarkEnd w:id="0"/>
    </w:p>
    <w:sectPr w:rsidR="00985370" w:rsidRPr="00B924DD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23" w:rsidRDefault="00F00E23" w:rsidP="00EE7812">
      <w:pPr>
        <w:spacing w:after="0" w:line="240" w:lineRule="auto"/>
      </w:pPr>
      <w:r>
        <w:separator/>
      </w:r>
    </w:p>
  </w:endnote>
  <w:endnote w:type="continuationSeparator" w:id="0">
    <w:p w:rsidR="00F00E23" w:rsidRDefault="00F00E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23" w:rsidRDefault="00F00E23" w:rsidP="00EE7812">
      <w:pPr>
        <w:spacing w:after="0" w:line="240" w:lineRule="auto"/>
      </w:pPr>
      <w:r>
        <w:separator/>
      </w:r>
    </w:p>
  </w:footnote>
  <w:footnote w:type="continuationSeparator" w:id="0">
    <w:p w:rsidR="00F00E23" w:rsidRDefault="00F00E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924DD">
      <w:t>10</w:t>
    </w:r>
    <w:r w:rsidR="009D09BB">
      <w:t xml:space="preserve">, </w:t>
    </w:r>
    <w:r w:rsidR="00F70A1E">
      <w:t xml:space="preserve">septiembre </w:t>
    </w:r>
    <w:r w:rsidR="0097508E">
      <w:t>26</w:t>
    </w:r>
    <w:r w:rsidR="0005771D">
      <w:t xml:space="preserve"> </w:t>
    </w:r>
    <w:r w:rsidR="0080786C">
      <w:t>de 2011</w:t>
    </w:r>
  </w:p>
  <w:p w:rsidR="0046164F" w:rsidRDefault="00F00E2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08E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3C93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0E23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15D9-55AB-471F-B902-239CCDF4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2011-09-25T22:21:00Z</dcterms:created>
  <dcterms:modified xsi:type="dcterms:W3CDTF">2011-09-25T22:32:00Z</dcterms:modified>
</cp:coreProperties>
</file>