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237A7" w14:textId="27CAF31D" w:rsidR="00230895" w:rsidRPr="00230895" w:rsidRDefault="00230895" w:rsidP="0023089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230895">
        <w:rPr>
          <w:position w:val="-7"/>
          <w:sz w:val="120"/>
        </w:rPr>
        <w:t>S</w:t>
      </w:r>
    </w:p>
    <w:p w14:paraId="7AB18F1F" w14:textId="03D7ADE3" w:rsidR="00C21435" w:rsidRDefault="00230895" w:rsidP="00230895">
      <w:r>
        <w:t xml:space="preserve">e lee en el documento </w:t>
      </w:r>
      <w:hyperlink r:id="rId8" w:history="1">
        <w:r w:rsidRPr="00230895">
          <w:rPr>
            <w:rStyle w:val="Hipervnculo"/>
            <w:i/>
          </w:rPr>
          <w:t xml:space="preserve">2019 Staff </w:t>
        </w:r>
        <w:proofErr w:type="spellStart"/>
        <w:r w:rsidRPr="00230895">
          <w:rPr>
            <w:rStyle w:val="Hipervnculo"/>
            <w:i/>
          </w:rPr>
          <w:t>Inspections</w:t>
        </w:r>
        <w:proofErr w:type="spellEnd"/>
        <w:r w:rsidRPr="00230895">
          <w:rPr>
            <w:rStyle w:val="Hipervnculo"/>
            <w:i/>
          </w:rPr>
          <w:t xml:space="preserve"> Outlook </w:t>
        </w:r>
        <w:proofErr w:type="spellStart"/>
        <w:r w:rsidRPr="00230895">
          <w:rPr>
            <w:rStyle w:val="Hipervnculo"/>
            <w:i/>
          </w:rPr>
          <w:t>for</w:t>
        </w:r>
        <w:proofErr w:type="spellEnd"/>
        <w:r w:rsidRPr="00230895">
          <w:rPr>
            <w:rStyle w:val="Hipervnculo"/>
            <w:i/>
          </w:rPr>
          <w:t xml:space="preserve"> Audit </w:t>
        </w:r>
        <w:proofErr w:type="spellStart"/>
        <w:r w:rsidRPr="00230895">
          <w:rPr>
            <w:rStyle w:val="Hipervnculo"/>
            <w:i/>
          </w:rPr>
          <w:t>Committees</w:t>
        </w:r>
        <w:proofErr w:type="spellEnd"/>
      </w:hyperlink>
      <w:r>
        <w:t xml:space="preserve"> “(…) </w:t>
      </w:r>
      <w:proofErr w:type="spellStart"/>
      <w:r w:rsidRPr="00230895">
        <w:rPr>
          <w:i/>
        </w:rPr>
        <w:t>Our</w:t>
      </w:r>
      <w:proofErr w:type="spellEnd"/>
      <w:r w:rsidRPr="00230895">
        <w:rPr>
          <w:i/>
        </w:rPr>
        <w:t xml:space="preserve"> 2019 </w:t>
      </w:r>
      <w:proofErr w:type="spellStart"/>
      <w:r w:rsidRPr="00230895">
        <w:rPr>
          <w:i/>
        </w:rPr>
        <w:t>inspections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will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focus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on</w:t>
      </w:r>
      <w:proofErr w:type="spellEnd"/>
      <w:r w:rsidRPr="00230895">
        <w:rPr>
          <w:i/>
        </w:rPr>
        <w:t xml:space="preserve">: • </w:t>
      </w:r>
      <w:proofErr w:type="spellStart"/>
      <w:r w:rsidRPr="00230895">
        <w:rPr>
          <w:b/>
          <w:i/>
        </w:rPr>
        <w:t>Technological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developments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affecting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today’s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audits</w:t>
      </w:r>
      <w:proofErr w:type="spellEnd"/>
      <w:r w:rsidRPr="00230895">
        <w:rPr>
          <w:i/>
        </w:rPr>
        <w:t xml:space="preserve">, </w:t>
      </w:r>
      <w:proofErr w:type="spellStart"/>
      <w:r w:rsidRPr="00230895">
        <w:rPr>
          <w:i/>
        </w:rPr>
        <w:t>including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the</w:t>
      </w:r>
      <w:proofErr w:type="spellEnd"/>
      <w:r w:rsidRPr="00230895">
        <w:rPr>
          <w:i/>
        </w:rPr>
        <w:t xml:space="preserve"> use </w:t>
      </w:r>
      <w:proofErr w:type="spellStart"/>
      <w:r w:rsidRPr="00230895">
        <w:rPr>
          <w:i/>
        </w:rPr>
        <w:t>of</w:t>
      </w:r>
      <w:proofErr w:type="spellEnd"/>
      <w:r w:rsidRPr="00230895">
        <w:rPr>
          <w:i/>
        </w:rPr>
        <w:t xml:space="preserve"> software </w:t>
      </w:r>
      <w:proofErr w:type="spellStart"/>
      <w:r w:rsidRPr="00230895">
        <w:rPr>
          <w:i/>
        </w:rPr>
        <w:t>audit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tools</w:t>
      </w:r>
      <w:proofErr w:type="spellEnd"/>
      <w:r w:rsidRPr="00230895">
        <w:rPr>
          <w:i/>
        </w:rPr>
        <w:t xml:space="preserve">, and </w:t>
      </w:r>
      <w:proofErr w:type="spellStart"/>
      <w:r w:rsidRPr="00230895">
        <w:rPr>
          <w:i/>
        </w:rPr>
        <w:t>the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audit</w:t>
      </w:r>
      <w:proofErr w:type="spellEnd"/>
      <w:r w:rsidRPr="00230895">
        <w:rPr>
          <w:i/>
        </w:rPr>
        <w:t xml:space="preserve"> response </w:t>
      </w:r>
      <w:proofErr w:type="spellStart"/>
      <w:r w:rsidRPr="00230895">
        <w:rPr>
          <w:i/>
        </w:rPr>
        <w:t>to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risks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associated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with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cybersecurity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incidents</w:t>
      </w:r>
      <w:proofErr w:type="spellEnd"/>
      <w:r w:rsidRPr="00230895">
        <w:rPr>
          <w:i/>
        </w:rPr>
        <w:t xml:space="preserve">, digital </w:t>
      </w:r>
      <w:proofErr w:type="spellStart"/>
      <w:r w:rsidRPr="00230895">
        <w:rPr>
          <w:i/>
        </w:rPr>
        <w:t>assets</w:t>
      </w:r>
      <w:proofErr w:type="spellEnd"/>
      <w:r w:rsidRPr="00230895">
        <w:rPr>
          <w:i/>
        </w:rPr>
        <w:t xml:space="preserve">, and </w:t>
      </w:r>
      <w:proofErr w:type="spellStart"/>
      <w:r w:rsidRPr="00230895">
        <w:rPr>
          <w:i/>
        </w:rPr>
        <w:t>distributed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ledgers</w:t>
      </w:r>
      <w:proofErr w:type="spellEnd"/>
      <w:r w:rsidRPr="00230895">
        <w:rPr>
          <w:i/>
        </w:rPr>
        <w:t xml:space="preserve">. • </w:t>
      </w:r>
      <w:r w:rsidRPr="00230895">
        <w:rPr>
          <w:b/>
          <w:i/>
        </w:rPr>
        <w:t xml:space="preserve">Audit </w:t>
      </w:r>
      <w:proofErr w:type="spellStart"/>
      <w:r w:rsidRPr="00230895">
        <w:rPr>
          <w:b/>
          <w:i/>
        </w:rPr>
        <w:t>firms</w:t>
      </w:r>
      <w:proofErr w:type="spellEnd"/>
      <w:r w:rsidRPr="00230895">
        <w:rPr>
          <w:b/>
          <w:i/>
        </w:rPr>
        <w:t xml:space="preserve">’ </w:t>
      </w:r>
      <w:proofErr w:type="spellStart"/>
      <w:r w:rsidRPr="00230895">
        <w:rPr>
          <w:b/>
          <w:i/>
        </w:rPr>
        <w:t>actions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addressing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past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inspection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findings</w:t>
      </w:r>
      <w:proofErr w:type="spellEnd"/>
      <w:r w:rsidRPr="00230895">
        <w:rPr>
          <w:i/>
        </w:rPr>
        <w:t xml:space="preserve"> in </w:t>
      </w:r>
      <w:proofErr w:type="spellStart"/>
      <w:r w:rsidRPr="00230895">
        <w:rPr>
          <w:i/>
        </w:rPr>
        <w:t>areas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of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repeat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deficiencies</w:t>
      </w:r>
      <w:proofErr w:type="spellEnd"/>
      <w:r w:rsidRPr="00230895">
        <w:rPr>
          <w:i/>
        </w:rPr>
        <w:t xml:space="preserve">, </w:t>
      </w:r>
      <w:proofErr w:type="spellStart"/>
      <w:r w:rsidRPr="00230895">
        <w:rPr>
          <w:i/>
        </w:rPr>
        <w:t>including</w:t>
      </w:r>
      <w:proofErr w:type="spellEnd"/>
      <w:r w:rsidRPr="00230895">
        <w:rPr>
          <w:i/>
        </w:rPr>
        <w:t xml:space="preserve"> auditing internal control </w:t>
      </w:r>
      <w:proofErr w:type="spellStart"/>
      <w:r w:rsidRPr="00230895">
        <w:rPr>
          <w:i/>
        </w:rPr>
        <w:t>over</w:t>
      </w:r>
      <w:proofErr w:type="spellEnd"/>
      <w:r w:rsidRPr="00230895">
        <w:rPr>
          <w:i/>
        </w:rPr>
        <w:t xml:space="preserve"> financial </w:t>
      </w:r>
      <w:proofErr w:type="spellStart"/>
      <w:r w:rsidRPr="00230895">
        <w:rPr>
          <w:i/>
        </w:rPr>
        <w:t>reporting</w:t>
      </w:r>
      <w:proofErr w:type="spellEnd"/>
      <w:r w:rsidRPr="00230895">
        <w:rPr>
          <w:i/>
        </w:rPr>
        <w:t xml:space="preserve">, </w:t>
      </w:r>
      <w:proofErr w:type="spellStart"/>
      <w:r w:rsidRPr="00230895">
        <w:rPr>
          <w:i/>
        </w:rPr>
        <w:t>revenue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recognition</w:t>
      </w:r>
      <w:proofErr w:type="spellEnd"/>
      <w:r w:rsidRPr="00230895">
        <w:rPr>
          <w:i/>
        </w:rPr>
        <w:t xml:space="preserve">, </w:t>
      </w:r>
      <w:proofErr w:type="spellStart"/>
      <w:r w:rsidRPr="00230895">
        <w:rPr>
          <w:i/>
        </w:rPr>
        <w:t>allowance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for</w:t>
      </w:r>
      <w:proofErr w:type="spellEnd"/>
      <w:r w:rsidRPr="00230895">
        <w:rPr>
          <w:i/>
        </w:rPr>
        <w:t xml:space="preserve"> loan </w:t>
      </w:r>
      <w:proofErr w:type="spellStart"/>
      <w:r w:rsidRPr="00230895">
        <w:rPr>
          <w:i/>
        </w:rPr>
        <w:t>losses</w:t>
      </w:r>
      <w:proofErr w:type="spellEnd"/>
      <w:r w:rsidRPr="00230895">
        <w:rPr>
          <w:i/>
        </w:rPr>
        <w:t xml:space="preserve">, </w:t>
      </w:r>
      <w:proofErr w:type="spellStart"/>
      <w:r w:rsidRPr="00230895">
        <w:rPr>
          <w:i/>
        </w:rPr>
        <w:t>other</w:t>
      </w:r>
      <w:proofErr w:type="spellEnd"/>
      <w:r w:rsidRPr="00230895">
        <w:rPr>
          <w:i/>
        </w:rPr>
        <w:t xml:space="preserve"> accounting </w:t>
      </w:r>
      <w:proofErr w:type="spellStart"/>
      <w:r w:rsidRPr="00230895">
        <w:rPr>
          <w:i/>
        </w:rPr>
        <w:t>estimates</w:t>
      </w:r>
      <w:proofErr w:type="spellEnd"/>
      <w:r w:rsidRPr="00230895">
        <w:rPr>
          <w:i/>
        </w:rPr>
        <w:t xml:space="preserve">, and </w:t>
      </w:r>
      <w:proofErr w:type="spellStart"/>
      <w:r w:rsidRPr="00230895">
        <w:rPr>
          <w:i/>
        </w:rPr>
        <w:t>assessing</w:t>
      </w:r>
      <w:proofErr w:type="spellEnd"/>
      <w:r w:rsidRPr="00230895">
        <w:rPr>
          <w:i/>
        </w:rPr>
        <w:t xml:space="preserve"> and </w:t>
      </w:r>
      <w:proofErr w:type="spellStart"/>
      <w:r w:rsidRPr="00230895">
        <w:rPr>
          <w:i/>
        </w:rPr>
        <w:t>responding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to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the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risks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of</w:t>
      </w:r>
      <w:proofErr w:type="spellEnd"/>
      <w:r w:rsidRPr="00230895">
        <w:rPr>
          <w:i/>
        </w:rPr>
        <w:t xml:space="preserve"> material </w:t>
      </w:r>
      <w:proofErr w:type="spellStart"/>
      <w:r w:rsidRPr="00230895">
        <w:rPr>
          <w:i/>
        </w:rPr>
        <w:t>misstatement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such</w:t>
      </w:r>
      <w:proofErr w:type="spellEnd"/>
      <w:r w:rsidRPr="00230895">
        <w:rPr>
          <w:i/>
        </w:rPr>
        <w:t xml:space="preserve"> as </w:t>
      </w:r>
      <w:proofErr w:type="spellStart"/>
      <w:r w:rsidRPr="00230895">
        <w:rPr>
          <w:i/>
        </w:rPr>
        <w:t>consideration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of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any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changes</w:t>
      </w:r>
      <w:proofErr w:type="spellEnd"/>
      <w:r w:rsidRPr="00230895">
        <w:rPr>
          <w:i/>
        </w:rPr>
        <w:t xml:space="preserve"> in </w:t>
      </w:r>
      <w:proofErr w:type="spellStart"/>
      <w:r w:rsidRPr="00230895">
        <w:rPr>
          <w:i/>
        </w:rPr>
        <w:t>external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factors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affecting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the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company</w:t>
      </w:r>
      <w:proofErr w:type="spellEnd"/>
      <w:r w:rsidRPr="00230895">
        <w:rPr>
          <w:i/>
        </w:rPr>
        <w:t xml:space="preserve">. • </w:t>
      </w:r>
      <w:r w:rsidRPr="00230895">
        <w:rPr>
          <w:b/>
          <w:i/>
        </w:rPr>
        <w:t xml:space="preserve">Audit </w:t>
      </w:r>
      <w:proofErr w:type="spellStart"/>
      <w:r w:rsidRPr="00230895">
        <w:rPr>
          <w:b/>
          <w:i/>
        </w:rPr>
        <w:t>procedures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on</w:t>
      </w:r>
      <w:proofErr w:type="spellEnd"/>
      <w:r w:rsidRPr="00230895">
        <w:rPr>
          <w:b/>
          <w:i/>
        </w:rPr>
        <w:t xml:space="preserve"> new accounting </w:t>
      </w:r>
      <w:proofErr w:type="spellStart"/>
      <w:r w:rsidRPr="00230895">
        <w:rPr>
          <w:b/>
          <w:i/>
        </w:rPr>
        <w:t>standards</w:t>
      </w:r>
      <w:proofErr w:type="spellEnd"/>
      <w:r w:rsidRPr="00230895">
        <w:rPr>
          <w:i/>
        </w:rPr>
        <w:t xml:space="preserve">, </w:t>
      </w:r>
      <w:proofErr w:type="spellStart"/>
      <w:r w:rsidRPr="00230895">
        <w:rPr>
          <w:i/>
        </w:rPr>
        <w:t>including</w:t>
      </w:r>
      <w:proofErr w:type="spellEnd"/>
      <w:r w:rsidRPr="00230895">
        <w:rPr>
          <w:i/>
        </w:rPr>
        <w:t xml:space="preserve"> internal control </w:t>
      </w:r>
      <w:proofErr w:type="spellStart"/>
      <w:r w:rsidRPr="00230895">
        <w:rPr>
          <w:i/>
        </w:rPr>
        <w:t>effects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regarding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revenue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recognition</w:t>
      </w:r>
      <w:proofErr w:type="spellEnd"/>
      <w:r w:rsidRPr="00230895">
        <w:rPr>
          <w:i/>
        </w:rPr>
        <w:t xml:space="preserve"> (ASC 606 and IFRS 15), </w:t>
      </w:r>
      <w:proofErr w:type="spellStart"/>
      <w:r w:rsidRPr="00230895">
        <w:rPr>
          <w:i/>
        </w:rPr>
        <w:t>lease</w:t>
      </w:r>
      <w:proofErr w:type="spellEnd"/>
      <w:r w:rsidRPr="00230895">
        <w:rPr>
          <w:i/>
        </w:rPr>
        <w:t xml:space="preserve"> accounting (ASC 842 and IFRS 16), </w:t>
      </w:r>
      <w:proofErr w:type="spellStart"/>
      <w:r w:rsidRPr="00230895">
        <w:rPr>
          <w:i/>
        </w:rPr>
        <w:t>current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expected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credit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losses</w:t>
      </w:r>
      <w:proofErr w:type="spellEnd"/>
      <w:r w:rsidRPr="00230895">
        <w:rPr>
          <w:i/>
        </w:rPr>
        <w:t xml:space="preserve"> (ASC 326), and financial </w:t>
      </w:r>
      <w:proofErr w:type="spellStart"/>
      <w:r w:rsidRPr="00230895">
        <w:rPr>
          <w:i/>
        </w:rPr>
        <w:t>instrument</w:t>
      </w:r>
      <w:proofErr w:type="spellEnd"/>
      <w:r w:rsidRPr="00230895">
        <w:rPr>
          <w:i/>
        </w:rPr>
        <w:t xml:space="preserve"> accounting (ASC 815 and IFRS 9). • </w:t>
      </w:r>
      <w:r w:rsidRPr="00230895">
        <w:rPr>
          <w:b/>
          <w:i/>
        </w:rPr>
        <w:t xml:space="preserve">Audit </w:t>
      </w:r>
      <w:proofErr w:type="spellStart"/>
      <w:r w:rsidRPr="00230895">
        <w:rPr>
          <w:b/>
          <w:i/>
        </w:rPr>
        <w:t>firms</w:t>
      </w:r>
      <w:proofErr w:type="spellEnd"/>
      <w:r w:rsidRPr="00230895">
        <w:rPr>
          <w:b/>
          <w:i/>
        </w:rPr>
        <w:t xml:space="preserve">’ use </w:t>
      </w:r>
      <w:proofErr w:type="spellStart"/>
      <w:r w:rsidRPr="00230895">
        <w:rPr>
          <w:b/>
          <w:i/>
        </w:rPr>
        <w:t>of</w:t>
      </w:r>
      <w:proofErr w:type="spellEnd"/>
      <w:r w:rsidRPr="00230895">
        <w:rPr>
          <w:b/>
          <w:i/>
        </w:rPr>
        <w:t xml:space="preserve"> Audit </w:t>
      </w:r>
      <w:proofErr w:type="spellStart"/>
      <w:r w:rsidRPr="00230895">
        <w:rPr>
          <w:b/>
          <w:i/>
        </w:rPr>
        <w:t>Quality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Indicators</w:t>
      </w:r>
      <w:proofErr w:type="spellEnd"/>
      <w:r w:rsidRPr="00230895">
        <w:rPr>
          <w:b/>
          <w:i/>
        </w:rPr>
        <w:t xml:space="preserve"> (</w:t>
      </w:r>
      <w:proofErr w:type="spellStart"/>
      <w:r w:rsidRPr="00230895">
        <w:rPr>
          <w:b/>
          <w:i/>
        </w:rPr>
        <w:t>AQIs</w:t>
      </w:r>
      <w:proofErr w:type="spellEnd"/>
      <w:r w:rsidRPr="00230895">
        <w:rPr>
          <w:b/>
          <w:i/>
        </w:rPr>
        <w:t>)</w:t>
      </w:r>
      <w:r w:rsidRPr="00230895">
        <w:rPr>
          <w:i/>
        </w:rPr>
        <w:t xml:space="preserve"> </w:t>
      </w:r>
      <w:proofErr w:type="spellStart"/>
      <w:r w:rsidRPr="00230895">
        <w:rPr>
          <w:i/>
        </w:rPr>
        <w:t>to</w:t>
      </w:r>
      <w:proofErr w:type="spellEnd"/>
      <w:r w:rsidRPr="00230895">
        <w:rPr>
          <w:i/>
        </w:rPr>
        <w:t xml:space="preserve"> monitor </w:t>
      </w:r>
      <w:proofErr w:type="spellStart"/>
      <w:r w:rsidRPr="00230895">
        <w:rPr>
          <w:i/>
        </w:rPr>
        <w:t>their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audit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work</w:t>
      </w:r>
      <w:proofErr w:type="spellEnd"/>
      <w:r w:rsidRPr="00230895">
        <w:rPr>
          <w:i/>
        </w:rPr>
        <w:t xml:space="preserve">, </w:t>
      </w:r>
      <w:proofErr w:type="spellStart"/>
      <w:r w:rsidRPr="00230895">
        <w:rPr>
          <w:i/>
        </w:rPr>
        <w:t>including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any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discussions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of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AQIs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with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audit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committees</w:t>
      </w:r>
      <w:proofErr w:type="spellEnd"/>
      <w:r w:rsidRPr="00230895">
        <w:rPr>
          <w:i/>
        </w:rPr>
        <w:t xml:space="preserve">. • </w:t>
      </w:r>
      <w:proofErr w:type="spellStart"/>
      <w:r w:rsidRPr="00230895">
        <w:rPr>
          <w:b/>
          <w:i/>
        </w:rPr>
        <w:t>Implementation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of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the</w:t>
      </w:r>
      <w:proofErr w:type="spellEnd"/>
      <w:r w:rsidRPr="00230895">
        <w:rPr>
          <w:b/>
          <w:i/>
        </w:rPr>
        <w:t xml:space="preserve"> new </w:t>
      </w:r>
      <w:proofErr w:type="spellStart"/>
      <w:r w:rsidRPr="00230895">
        <w:rPr>
          <w:b/>
          <w:i/>
        </w:rPr>
        <w:t>auditor’s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reporting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model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requirements</w:t>
      </w:r>
      <w:proofErr w:type="spellEnd"/>
      <w:r w:rsidRPr="00230895">
        <w:rPr>
          <w:i/>
        </w:rPr>
        <w:t xml:space="preserve">, </w:t>
      </w:r>
      <w:proofErr w:type="spellStart"/>
      <w:r w:rsidRPr="00230895">
        <w:rPr>
          <w:i/>
        </w:rPr>
        <w:t>including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understanding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implementation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experiences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related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to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the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auditor’s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reporting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of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critical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audit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matters</w:t>
      </w:r>
      <w:proofErr w:type="spellEnd"/>
      <w:r w:rsidRPr="00230895">
        <w:rPr>
          <w:i/>
        </w:rPr>
        <w:t xml:space="preserve"> (</w:t>
      </w:r>
      <w:proofErr w:type="spellStart"/>
      <w:r w:rsidRPr="00230895">
        <w:rPr>
          <w:i/>
        </w:rPr>
        <w:t>CAMs</w:t>
      </w:r>
      <w:proofErr w:type="spellEnd"/>
      <w:r w:rsidRPr="00230895">
        <w:rPr>
          <w:i/>
        </w:rPr>
        <w:t xml:space="preserve">). • </w:t>
      </w:r>
      <w:r w:rsidRPr="00230895">
        <w:rPr>
          <w:b/>
          <w:i/>
        </w:rPr>
        <w:t xml:space="preserve">Audit </w:t>
      </w:r>
      <w:proofErr w:type="spellStart"/>
      <w:r w:rsidRPr="00230895">
        <w:rPr>
          <w:b/>
          <w:i/>
        </w:rPr>
        <w:t>firms</w:t>
      </w:r>
      <w:proofErr w:type="spellEnd"/>
      <w:r w:rsidRPr="00230895">
        <w:rPr>
          <w:b/>
          <w:i/>
        </w:rPr>
        <w:t xml:space="preserve">’ </w:t>
      </w:r>
      <w:proofErr w:type="spellStart"/>
      <w:r w:rsidRPr="00230895">
        <w:rPr>
          <w:b/>
          <w:i/>
        </w:rPr>
        <w:t>systems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of</w:t>
      </w:r>
      <w:proofErr w:type="spellEnd"/>
      <w:r w:rsidRPr="00230895">
        <w:rPr>
          <w:b/>
          <w:i/>
        </w:rPr>
        <w:t xml:space="preserve"> </w:t>
      </w:r>
      <w:proofErr w:type="spellStart"/>
      <w:r w:rsidRPr="00230895">
        <w:rPr>
          <w:b/>
          <w:i/>
        </w:rPr>
        <w:t>quality</w:t>
      </w:r>
      <w:proofErr w:type="spellEnd"/>
      <w:r w:rsidRPr="00230895">
        <w:rPr>
          <w:b/>
          <w:i/>
        </w:rPr>
        <w:t xml:space="preserve"> control</w:t>
      </w:r>
      <w:r w:rsidRPr="00230895">
        <w:rPr>
          <w:i/>
        </w:rPr>
        <w:t xml:space="preserve">, </w:t>
      </w:r>
      <w:proofErr w:type="spellStart"/>
      <w:r w:rsidRPr="00230895">
        <w:rPr>
          <w:i/>
        </w:rPr>
        <w:t>including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the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firms</w:t>
      </w:r>
      <w:proofErr w:type="spellEnd"/>
      <w:r w:rsidRPr="00230895">
        <w:rPr>
          <w:i/>
        </w:rPr>
        <w:t xml:space="preserve">’ cultures and </w:t>
      </w:r>
      <w:proofErr w:type="spellStart"/>
      <w:r w:rsidRPr="00230895">
        <w:rPr>
          <w:i/>
        </w:rPr>
        <w:t>their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policies</w:t>
      </w:r>
      <w:proofErr w:type="spellEnd"/>
      <w:r w:rsidRPr="00230895">
        <w:rPr>
          <w:i/>
        </w:rPr>
        <w:t xml:space="preserve"> and </w:t>
      </w:r>
      <w:proofErr w:type="spellStart"/>
      <w:r w:rsidRPr="00230895">
        <w:rPr>
          <w:i/>
        </w:rPr>
        <w:t>procedures</w:t>
      </w:r>
      <w:proofErr w:type="spellEnd"/>
      <w:r w:rsidRPr="00230895">
        <w:rPr>
          <w:i/>
        </w:rPr>
        <w:t xml:space="preserve">, and </w:t>
      </w:r>
      <w:proofErr w:type="spellStart"/>
      <w:r w:rsidRPr="00230895">
        <w:rPr>
          <w:i/>
        </w:rPr>
        <w:t>how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firms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promote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consistency</w:t>
      </w:r>
      <w:proofErr w:type="spellEnd"/>
      <w:r w:rsidRPr="00230895">
        <w:rPr>
          <w:i/>
        </w:rPr>
        <w:t xml:space="preserve"> in </w:t>
      </w:r>
      <w:proofErr w:type="spellStart"/>
      <w:r w:rsidRPr="00230895">
        <w:rPr>
          <w:i/>
        </w:rPr>
        <w:t>audit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quality</w:t>
      </w:r>
      <w:proofErr w:type="spellEnd"/>
      <w:r w:rsidRPr="00230895">
        <w:rPr>
          <w:i/>
        </w:rPr>
        <w:t xml:space="preserve">. • </w:t>
      </w:r>
      <w:r w:rsidRPr="00230895">
        <w:rPr>
          <w:b/>
          <w:i/>
        </w:rPr>
        <w:t xml:space="preserve">Auditor </w:t>
      </w:r>
      <w:proofErr w:type="spellStart"/>
      <w:r w:rsidRPr="00230895">
        <w:rPr>
          <w:b/>
          <w:i/>
        </w:rPr>
        <w:t>independence</w:t>
      </w:r>
      <w:proofErr w:type="spellEnd"/>
      <w:r w:rsidRPr="00230895">
        <w:rPr>
          <w:i/>
        </w:rPr>
        <w:t xml:space="preserve">, </w:t>
      </w:r>
      <w:proofErr w:type="spellStart"/>
      <w:r w:rsidRPr="00230895">
        <w:rPr>
          <w:i/>
        </w:rPr>
        <w:t>with</w:t>
      </w:r>
      <w:proofErr w:type="spellEnd"/>
      <w:r w:rsidRPr="00230895">
        <w:rPr>
          <w:i/>
        </w:rPr>
        <w:t xml:space="preserve"> particular </w:t>
      </w:r>
      <w:proofErr w:type="spellStart"/>
      <w:r w:rsidRPr="00230895">
        <w:rPr>
          <w:i/>
        </w:rPr>
        <w:t>attention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to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recurring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deficiencies</w:t>
      </w:r>
      <w:proofErr w:type="spellEnd"/>
      <w:r w:rsidRPr="00230895">
        <w:rPr>
          <w:i/>
        </w:rPr>
        <w:t xml:space="preserve"> in </w:t>
      </w:r>
      <w:proofErr w:type="spellStart"/>
      <w:r w:rsidRPr="00230895">
        <w:rPr>
          <w:i/>
        </w:rPr>
        <w:t>firms</w:t>
      </w:r>
      <w:proofErr w:type="spellEnd"/>
      <w:r w:rsidRPr="00230895">
        <w:rPr>
          <w:i/>
        </w:rPr>
        <w:t xml:space="preserve">’ </w:t>
      </w:r>
      <w:proofErr w:type="spellStart"/>
      <w:r w:rsidRPr="00230895">
        <w:rPr>
          <w:i/>
        </w:rPr>
        <w:t>monitoring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procedures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to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identify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independence</w:t>
      </w:r>
      <w:proofErr w:type="spellEnd"/>
      <w:r w:rsidRPr="00230895">
        <w:rPr>
          <w:i/>
        </w:rPr>
        <w:t xml:space="preserve"> </w:t>
      </w:r>
      <w:proofErr w:type="spellStart"/>
      <w:r w:rsidRPr="00230895">
        <w:rPr>
          <w:i/>
        </w:rPr>
        <w:t>violations</w:t>
      </w:r>
      <w:proofErr w:type="spellEnd"/>
      <w:r>
        <w:t xml:space="preserve"> (…)”</w:t>
      </w:r>
    </w:p>
    <w:p w14:paraId="04367E4A" w14:textId="164E27C8" w:rsidR="00230895" w:rsidRDefault="00230895" w:rsidP="00230895">
      <w:r>
        <w:t>La inspección, vigilancia y control debe corresponder a un plan estratégico que busque la realización de los objetivos que la ley consagra para tales actividades. Así como lo hace el PCAOB, las autoridades deben reflexionar sobre sus verificaciones y determinar en qué asuntos deben seguir insistiendo o qué nuevos enfoques deben adoptar.</w:t>
      </w:r>
    </w:p>
    <w:p w14:paraId="4F58EE0F" w14:textId="20015B07" w:rsidR="00230895" w:rsidRDefault="00230895" w:rsidP="00230895">
      <w:r>
        <w:t xml:space="preserve">En otras jurisdicciones se conoce el resultado del trabajo realizado cada año y los planes concretos que se decide realizar en el siguiente. En Colombia esto no es de público conocimiento ni existen instrumentos de medición que permitan </w:t>
      </w:r>
      <w:r w:rsidR="00FE53AA">
        <w:t>establecer</w:t>
      </w:r>
      <w:r>
        <w:t xml:space="preserve"> el grado de avance o de realización de lo proyectado.</w:t>
      </w:r>
    </w:p>
    <w:p w14:paraId="29F04D0D" w14:textId="72A883A3" w:rsidR="00230895" w:rsidRDefault="00230895" w:rsidP="00230895">
      <w:r>
        <w:t xml:space="preserve">Nosotros deberíamos empezar por caracterizar las prácticas, pues las empresas </w:t>
      </w:r>
      <w:r w:rsidR="00FE53AA">
        <w:t xml:space="preserve">supervisadas </w:t>
      </w:r>
      <w:r>
        <w:t>son bien diferentes en tamaños y complejidades. Aunque la regulación sea genérica, al llevarla a la práctica aflora</w:t>
      </w:r>
      <w:r w:rsidR="00061003">
        <w:t>n varias diferencias que particularizan el trabajo.</w:t>
      </w:r>
    </w:p>
    <w:p w14:paraId="757FB0D4" w14:textId="67D6C021" w:rsidR="00061003" w:rsidRDefault="00061003" w:rsidP="00230895">
      <w:r>
        <w:t xml:space="preserve">Algunas entidades solamente son reactivas. Realizan investigaciones sobre las cosas de que se enteran ya sea por personas conocidas o por anónimos. Suelen poner mucho más cuidado en los asuntos que también son de interés de los medios masivos de comunicación. </w:t>
      </w:r>
    </w:p>
    <w:p w14:paraId="34959FD6" w14:textId="18780CB1" w:rsidR="00FE53AA" w:rsidRDefault="00FE53AA" w:rsidP="00230895">
      <w:bookmarkStart w:id="0" w:name="_GoBack"/>
      <w:r>
        <w:t>La inspección, vigilancia y control deben ir más allá de verificar el cumplimiento de normas</w:t>
      </w:r>
      <w:bookmarkEnd w:id="0"/>
      <w:r>
        <w:t>. Esto no parece estar en la mente de nuestras autoridades.</w:t>
      </w:r>
    </w:p>
    <w:p w14:paraId="508BB10D" w14:textId="03D4F727" w:rsidR="00FE53AA" w:rsidRPr="00FE53AA" w:rsidRDefault="00FE53AA" w:rsidP="00FE53AA">
      <w:pPr>
        <w:jc w:val="right"/>
        <w:rPr>
          <w:i/>
        </w:rPr>
      </w:pPr>
      <w:r w:rsidRPr="00FE53AA">
        <w:rPr>
          <w:i/>
        </w:rPr>
        <w:t>Hernando Bermúdez Gómez</w:t>
      </w:r>
    </w:p>
    <w:sectPr w:rsidR="00FE53AA" w:rsidRPr="00FE53AA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984AA" w14:textId="77777777" w:rsidR="00685AD8" w:rsidRDefault="00685AD8" w:rsidP="00EE7812">
      <w:pPr>
        <w:spacing w:after="0" w:line="240" w:lineRule="auto"/>
      </w:pPr>
      <w:r>
        <w:separator/>
      </w:r>
    </w:p>
  </w:endnote>
  <w:endnote w:type="continuationSeparator" w:id="0">
    <w:p w14:paraId="114D3014" w14:textId="77777777" w:rsidR="00685AD8" w:rsidRDefault="00685AD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E637A" w14:textId="77777777" w:rsidR="00685AD8" w:rsidRDefault="00685AD8" w:rsidP="00EE7812">
      <w:pPr>
        <w:spacing w:after="0" w:line="240" w:lineRule="auto"/>
      </w:pPr>
      <w:r>
        <w:separator/>
      </w:r>
    </w:p>
  </w:footnote>
  <w:footnote w:type="continuationSeparator" w:id="0">
    <w:p w14:paraId="3A421F48" w14:textId="77777777" w:rsidR="00685AD8" w:rsidRDefault="00685AD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365F670F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230895">
      <w:t>13</w:t>
    </w:r>
    <w:r w:rsidR="00BA1897">
      <w:t>,</w:t>
    </w:r>
    <w:r w:rsidR="00704BAE">
      <w:t xml:space="preserve"> </w:t>
    </w:r>
    <w:r w:rsidR="00A80529">
      <w:t>18</w:t>
    </w:r>
    <w:r w:rsidR="006F6BC6">
      <w:t xml:space="preserve"> de </w:t>
    </w:r>
    <w:r w:rsidR="000F0287">
      <w:t>marzo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685AD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B05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AD8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1AA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aobus.org/Inspections/Documents/2019-Staff-Inspections-Outlook-Audit-Committees.pdf?utm_source=PCAOB+Email+Subscriptions&amp;utm_campaign=7e6c5f224b-EMAIL_CAMPAIGN-new-inspection-outlook-march&amp;utm_medium=email&amp;utm_term=0_c97e2ba223-7e6c5f224b-1152809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9D84-2F09-4B3F-9713-285EBD3C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2019-03-16T21:18:00Z</dcterms:created>
  <dcterms:modified xsi:type="dcterms:W3CDTF">2019-03-16T21:18:00Z</dcterms:modified>
</cp:coreProperties>
</file>