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3B" w:rsidRPr="009F133B" w:rsidRDefault="009F133B" w:rsidP="009F133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9F133B">
        <w:rPr>
          <w:rFonts w:cs="Calibri"/>
          <w:position w:val="-7"/>
          <w:sz w:val="121"/>
        </w:rPr>
        <w:t>U</w:t>
      </w:r>
    </w:p>
    <w:p w:rsidR="00497AA9" w:rsidRDefault="0091348F" w:rsidP="009410D3">
      <w:r>
        <w:t>na de las cuestiones que más dificultades produce en la práctica es la forma de tratar las correcciones de errores</w:t>
      </w:r>
      <w:r w:rsidR="009F133B">
        <w:t xml:space="preserve"> contable</w:t>
      </w:r>
      <w:r w:rsidR="00EB6853">
        <w:t>s</w:t>
      </w:r>
      <w:r>
        <w:t>. En un plano teórico cabrían tres formas de tratamiento: efecto retroactivo, efecto actual y efecto prospectivo.</w:t>
      </w:r>
      <w:r w:rsidR="009F133B">
        <w:t xml:space="preserve"> Más aún: hilando finito podría distinguirse entre efecto retroactivo y efecto retrospectivo.</w:t>
      </w:r>
    </w:p>
    <w:p w:rsidR="00EB6853" w:rsidRDefault="004D1E3E" w:rsidP="009410D3">
      <w:r>
        <w:t xml:space="preserve">La Norma Internacional de Contabilidad 8, </w:t>
      </w:r>
      <w:r w:rsidRPr="004D1E3E">
        <w:t>Políticas Contables, Cambios en las Estimaciones Contables y Errores</w:t>
      </w:r>
      <w:r w:rsidR="00E0663D">
        <w:t>, distingue entre aplicación y re-expresión retroactiva</w:t>
      </w:r>
      <w:r w:rsidR="00354125">
        <w:t xml:space="preserve"> (</w:t>
      </w:r>
      <w:hyperlink r:id="rId9" w:history="1">
        <w:r w:rsidR="00354125" w:rsidRPr="00354125">
          <w:rPr>
            <w:rStyle w:val="Hyperlink"/>
          </w:rPr>
          <w:t>véase traducción 2010</w:t>
        </w:r>
      </w:hyperlink>
      <w:r w:rsidR="00354125">
        <w:t>)</w:t>
      </w:r>
      <w:r w:rsidR="00E0663D">
        <w:t>:</w:t>
      </w:r>
    </w:p>
    <w:p w:rsidR="00E0663D" w:rsidRPr="00354125" w:rsidRDefault="00354125" w:rsidP="005145A1">
      <w:pPr>
        <w:spacing w:line="240" w:lineRule="auto"/>
        <w:rPr>
          <w:i/>
        </w:rPr>
      </w:pPr>
      <w:r>
        <w:t>“</w:t>
      </w:r>
      <w:r w:rsidR="00E0663D" w:rsidRPr="00354125">
        <w:rPr>
          <w:i/>
        </w:rPr>
        <w:t>La aplicación retroactiva consiste en aplicar una nueva política contable a</w:t>
      </w:r>
      <w:r w:rsidR="00E0663D" w:rsidRPr="00354125">
        <w:rPr>
          <w:i/>
        </w:rPr>
        <w:t xml:space="preserve"> </w:t>
      </w:r>
      <w:r w:rsidR="00E0663D" w:rsidRPr="00354125">
        <w:rPr>
          <w:i/>
        </w:rPr>
        <w:t>transacciones, otros sucesos y condiciones, como si ésta se hubiera aplicado</w:t>
      </w:r>
      <w:r w:rsidR="00E0663D" w:rsidRPr="00354125">
        <w:rPr>
          <w:i/>
        </w:rPr>
        <w:t xml:space="preserve"> </w:t>
      </w:r>
      <w:r w:rsidR="00E0663D" w:rsidRPr="00354125">
        <w:rPr>
          <w:i/>
        </w:rPr>
        <w:t>siempre.</w:t>
      </w:r>
    </w:p>
    <w:p w:rsidR="00E0663D" w:rsidRDefault="00E0663D" w:rsidP="005145A1">
      <w:pPr>
        <w:spacing w:line="240" w:lineRule="auto"/>
      </w:pPr>
      <w:r w:rsidRPr="00354125">
        <w:rPr>
          <w:i/>
        </w:rPr>
        <w:t xml:space="preserve">La </w:t>
      </w:r>
      <w:proofErr w:type="spellStart"/>
      <w:r w:rsidRPr="00354125">
        <w:rPr>
          <w:i/>
        </w:rPr>
        <w:t>reexpresión</w:t>
      </w:r>
      <w:proofErr w:type="spellEnd"/>
      <w:r w:rsidRPr="00354125">
        <w:rPr>
          <w:i/>
        </w:rPr>
        <w:t xml:space="preserve"> retroactiva consiste en corregir el reconocimiento, medición e</w:t>
      </w:r>
      <w:r w:rsidR="00354125" w:rsidRPr="00354125">
        <w:rPr>
          <w:i/>
        </w:rPr>
        <w:t xml:space="preserve"> </w:t>
      </w:r>
      <w:r w:rsidRPr="00354125">
        <w:rPr>
          <w:i/>
        </w:rPr>
        <w:t>información a revelar de los importes de los elementos de los estados financieros,</w:t>
      </w:r>
      <w:r w:rsidR="00354125" w:rsidRPr="00354125">
        <w:rPr>
          <w:i/>
        </w:rPr>
        <w:t xml:space="preserve"> </w:t>
      </w:r>
      <w:r w:rsidRPr="00354125">
        <w:rPr>
          <w:i/>
        </w:rPr>
        <w:t>como si el error cometido en periodos anteriores no se hubiera cometido nunca</w:t>
      </w:r>
      <w:r>
        <w:t>.</w:t>
      </w:r>
      <w:r w:rsidR="00354125">
        <w:t>”</w:t>
      </w:r>
    </w:p>
    <w:p w:rsidR="0085400A" w:rsidRDefault="0085400A" w:rsidP="00E0663D">
      <w:r>
        <w:t>Tratándose de errores, el párrafo 42 de la norma citada establece</w:t>
      </w:r>
      <w:r w:rsidR="00C52ECD">
        <w:t xml:space="preserve"> (resaltamos)</w:t>
      </w:r>
      <w:r>
        <w:t>:</w:t>
      </w:r>
    </w:p>
    <w:p w:rsidR="0085400A" w:rsidRPr="00FB6828" w:rsidRDefault="00FB6828" w:rsidP="005145A1">
      <w:pPr>
        <w:spacing w:line="240" w:lineRule="auto"/>
        <w:rPr>
          <w:i/>
        </w:rPr>
      </w:pPr>
      <w:r>
        <w:t>“</w:t>
      </w:r>
      <w:r w:rsidR="0085400A" w:rsidRPr="00FB6828">
        <w:rPr>
          <w:i/>
        </w:rPr>
        <w:t xml:space="preserve">Con sujeción a lo establecido en párrafo 43, la entidad corregirá los errores materiales de periodos anteriores, de forma retroactiva, </w:t>
      </w:r>
      <w:r w:rsidR="0085400A" w:rsidRPr="00C52ECD">
        <w:rPr>
          <w:b/>
          <w:i/>
        </w:rPr>
        <w:t>en los primeros estados financieros formulados después de haberlos descubierto</w:t>
      </w:r>
      <w:r w:rsidR="0085400A" w:rsidRPr="00FB6828">
        <w:rPr>
          <w:i/>
        </w:rPr>
        <w:t>:</w:t>
      </w:r>
    </w:p>
    <w:p w:rsidR="0085400A" w:rsidRPr="00FB6828" w:rsidRDefault="0085400A" w:rsidP="005145A1">
      <w:pPr>
        <w:spacing w:line="240" w:lineRule="auto"/>
        <w:rPr>
          <w:i/>
        </w:rPr>
      </w:pPr>
      <w:r w:rsidRPr="00FB6828">
        <w:rPr>
          <w:i/>
        </w:rPr>
        <w:t xml:space="preserve">(a) </w:t>
      </w:r>
      <w:proofErr w:type="spellStart"/>
      <w:r w:rsidRPr="00FB6828">
        <w:rPr>
          <w:i/>
        </w:rPr>
        <w:t>reexpresando</w:t>
      </w:r>
      <w:proofErr w:type="spellEnd"/>
      <w:r w:rsidRPr="00FB6828">
        <w:rPr>
          <w:i/>
        </w:rPr>
        <w:t xml:space="preserve"> la información comparativa para el periodo o periodos anteriores en los que se originó el error; o</w:t>
      </w:r>
    </w:p>
    <w:p w:rsidR="0085400A" w:rsidRDefault="0085400A" w:rsidP="005145A1">
      <w:pPr>
        <w:spacing w:line="240" w:lineRule="auto"/>
        <w:rPr>
          <w:i/>
        </w:rPr>
      </w:pPr>
      <w:r w:rsidRPr="00FB6828">
        <w:rPr>
          <w:i/>
        </w:rPr>
        <w:t xml:space="preserve">(b) </w:t>
      </w:r>
      <w:proofErr w:type="gramStart"/>
      <w:r w:rsidRPr="00FB6828">
        <w:rPr>
          <w:i/>
        </w:rPr>
        <w:t>si</w:t>
      </w:r>
      <w:proofErr w:type="gramEnd"/>
      <w:r w:rsidRPr="00FB6828">
        <w:rPr>
          <w:i/>
        </w:rPr>
        <w:t xml:space="preserve"> el error ocurrió con anterioridad al periodo más antiguo para el que se presenta información, </w:t>
      </w:r>
      <w:proofErr w:type="spellStart"/>
      <w:r w:rsidRPr="00FB6828">
        <w:rPr>
          <w:i/>
        </w:rPr>
        <w:t>reexpresando</w:t>
      </w:r>
      <w:proofErr w:type="spellEnd"/>
      <w:r w:rsidRPr="00FB6828">
        <w:rPr>
          <w:i/>
        </w:rPr>
        <w:t xml:space="preserve"> los saldos iniciales </w:t>
      </w:r>
      <w:r w:rsidRPr="00FB6828">
        <w:rPr>
          <w:i/>
        </w:rPr>
        <w:lastRenderedPageBreak/>
        <w:t>de activos, pasivos y patrimonio para dicho periodo.</w:t>
      </w:r>
      <w:r w:rsidR="00FB6828" w:rsidRPr="00FB6828">
        <w:rPr>
          <w:i/>
        </w:rPr>
        <w:t>”</w:t>
      </w:r>
    </w:p>
    <w:p w:rsidR="00B561AD" w:rsidRDefault="0038141A" w:rsidP="0085400A">
      <w:r>
        <w:t>Supuesta la adopción de las normas internacionales, e</w:t>
      </w:r>
      <w:r w:rsidR="00B561AD">
        <w:t xml:space="preserve">n nuestro entender </w:t>
      </w:r>
      <w:r>
        <w:t>habría</w:t>
      </w:r>
      <w:r w:rsidR="005D03D1">
        <w:t xml:space="preserve"> que distinguir entre cuá</w:t>
      </w:r>
      <w:r w:rsidR="00B561AD">
        <w:t>ndo se as</w:t>
      </w:r>
      <w:r>
        <w:t>entaría</w:t>
      </w:r>
      <w:r w:rsidR="005D03D1">
        <w:t xml:space="preserve"> la corrección de un error y có</w:t>
      </w:r>
      <w:r w:rsidR="00B561AD">
        <w:t>mo se revela</w:t>
      </w:r>
      <w:r>
        <w:t>ría</w:t>
      </w:r>
      <w:r w:rsidR="00B561AD">
        <w:t xml:space="preserve"> o </w:t>
      </w:r>
      <w:r>
        <w:t>mostraría</w:t>
      </w:r>
      <w:r w:rsidR="00B561AD">
        <w:t xml:space="preserve"> esa corrección en los informes financieros.</w:t>
      </w:r>
      <w:r w:rsidR="00CB02BD">
        <w:t xml:space="preserve"> Para nosotros el asiento debe</w:t>
      </w:r>
      <w:r>
        <w:t>rá</w:t>
      </w:r>
      <w:r w:rsidR="00CB02BD">
        <w:t xml:space="preserve"> hacerse en libros en el período en el cual se advierta</w:t>
      </w:r>
      <w:r w:rsidR="001361F9">
        <w:t xml:space="preserve"> (no en el que se cometió)</w:t>
      </w:r>
      <w:bookmarkStart w:id="0" w:name="_GoBack"/>
      <w:bookmarkEnd w:id="0"/>
      <w:r w:rsidR="00CB02BD">
        <w:t>, dando así cumplimiento al artículo 57 del Código de Comercio y, cuando toca, a la Ley 222 de 1995. La revelación se har</w:t>
      </w:r>
      <w:r>
        <w:t>ía</w:t>
      </w:r>
      <w:r w:rsidR="00CB02BD">
        <w:t xml:space="preserve"> re</w:t>
      </w:r>
      <w:r w:rsidR="005D03D1">
        <w:t>-</w:t>
      </w:r>
      <w:r w:rsidR="00CB02BD">
        <w:t>expresando los estados financieros correspondientes al período en que se hubiese cometido el error o, si el error se cometió antes del lapso al que corresponden los estados financieros</w:t>
      </w:r>
      <w:r w:rsidR="005145A1">
        <w:t xml:space="preserve"> que se estuvieren publicando</w:t>
      </w:r>
      <w:r w:rsidR="00CB02BD">
        <w:t xml:space="preserve">, </w:t>
      </w:r>
      <w:r w:rsidR="005D03D1">
        <w:t xml:space="preserve">re-expresando los saldos iniciales </w:t>
      </w:r>
      <w:r w:rsidR="00BE0FF6">
        <w:t>que originan el estado más antiguo que se estuviere divulgando.</w:t>
      </w:r>
    </w:p>
    <w:p w:rsidR="00BE0FF6" w:rsidRDefault="00BE0FF6" w:rsidP="0085400A">
      <w:r>
        <w:t xml:space="preserve">Nos parecen inadmisibles las interpretaciones conforme a las cuales se anularían los registros en libros, se reprocesarían éstos y todos los informes emitidos </w:t>
      </w:r>
      <w:r w:rsidR="000A08B4">
        <w:t>con base en ellos. Semejante posición generaría una alta inseguridad jurídica, lo cual es inaceptable.</w:t>
      </w:r>
    </w:p>
    <w:p w:rsidR="000A08B4" w:rsidRDefault="00C479DF" w:rsidP="0085400A">
      <w:r>
        <w:t xml:space="preserve">Hemos leído varios comentarios según los cuales los cambios en las normas contables pondrían en entredicho la seguridad jurídica. Afortunadamente los principios de seguridad jurídica y confianza legítima están por encima de cualquier pretendido efecto de </w:t>
      </w:r>
      <w:r w:rsidR="00BA0331">
        <w:t xml:space="preserve">la </w:t>
      </w:r>
      <w:r>
        <w:t>reforma de las normas contables.</w:t>
      </w:r>
    </w:p>
    <w:p w:rsidR="00C479DF" w:rsidRPr="00C479DF" w:rsidRDefault="00C479DF" w:rsidP="00C479DF">
      <w:pPr>
        <w:jc w:val="right"/>
        <w:rPr>
          <w:i/>
        </w:rPr>
      </w:pPr>
      <w:r w:rsidRPr="00C479DF">
        <w:rPr>
          <w:i/>
        </w:rPr>
        <w:t>Hernando Bermúdez Gómez</w:t>
      </w:r>
    </w:p>
    <w:sectPr w:rsidR="00C479DF" w:rsidRPr="00C479DF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C8" w:rsidRDefault="00E74AC8" w:rsidP="00EE7812">
      <w:pPr>
        <w:spacing w:after="0" w:line="240" w:lineRule="auto"/>
      </w:pPr>
      <w:r>
        <w:separator/>
      </w:r>
    </w:p>
  </w:endnote>
  <w:endnote w:type="continuationSeparator" w:id="0">
    <w:p w:rsidR="00E74AC8" w:rsidRDefault="00E74AC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C8" w:rsidRDefault="00E74AC8" w:rsidP="00EE7812">
      <w:pPr>
        <w:spacing w:after="0" w:line="240" w:lineRule="auto"/>
      </w:pPr>
      <w:r>
        <w:separator/>
      </w:r>
    </w:p>
  </w:footnote>
  <w:footnote w:type="continuationSeparator" w:id="0">
    <w:p w:rsidR="00E74AC8" w:rsidRDefault="00E74AC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CC6844">
      <w:t>2</w:t>
    </w:r>
    <w:r w:rsidR="009410D3">
      <w:t>7</w:t>
    </w:r>
    <w:r w:rsidR="009D09BB">
      <w:t xml:space="preserve">, </w:t>
    </w:r>
    <w:r w:rsidR="00900996">
      <w:t>noviembre</w:t>
    </w:r>
    <w:r w:rsidR="00F70A1E">
      <w:t xml:space="preserve"> </w:t>
    </w:r>
    <w:r w:rsidR="00900996">
      <w:t>8</w:t>
    </w:r>
    <w:r w:rsidR="0005771D">
      <w:t xml:space="preserve"> </w:t>
    </w:r>
    <w:r w:rsidR="0080786C">
      <w:t>de 2011</w:t>
    </w:r>
  </w:p>
  <w:p w:rsidR="0046164F" w:rsidRDefault="00E74AC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28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24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14"/>
  </w:num>
  <w:num w:numId="24">
    <w:abstractNumId w:val="18"/>
  </w:num>
  <w:num w:numId="25">
    <w:abstractNumId w:val="1"/>
  </w:num>
  <w:num w:numId="26">
    <w:abstractNumId w:val="11"/>
  </w:num>
  <w:num w:numId="27">
    <w:abstractNumId w:val="21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36B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780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941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3D1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48F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1703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87D5B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07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ifrs.iasb.org/eifrs/bnstandards/es/2010/ias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FA2D-996F-468B-AB8B-BA75688D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2011-11-04T22:39:00Z</dcterms:created>
  <dcterms:modified xsi:type="dcterms:W3CDTF">2011-11-04T23:19:00Z</dcterms:modified>
</cp:coreProperties>
</file>