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77EA1" w14:textId="08B2315C" w:rsidR="00B04C87" w:rsidRPr="00B04C87" w:rsidRDefault="00B04C87" w:rsidP="00B04C87">
      <w:pPr>
        <w:keepNext/>
        <w:framePr w:dropCap="drop" w:lines="3" w:wrap="around" w:vAnchor="text" w:hAnchor="text"/>
        <w:spacing w:after="0" w:line="926" w:lineRule="exact"/>
        <w:textAlignment w:val="baseline"/>
        <w:rPr>
          <w:position w:val="-9"/>
          <w:sz w:val="123"/>
        </w:rPr>
      </w:pPr>
      <w:r w:rsidRPr="00B04C87">
        <w:rPr>
          <w:position w:val="-9"/>
          <w:sz w:val="123"/>
        </w:rPr>
        <w:t>E</w:t>
      </w:r>
    </w:p>
    <w:p w14:paraId="27E03C56" w14:textId="7491B80E" w:rsidR="00460498" w:rsidRPr="008C29FB" w:rsidRDefault="00B04C87" w:rsidP="0090722F">
      <w:pPr>
        <w:rPr>
          <w:lang w:val="en-US"/>
        </w:rPr>
      </w:pPr>
      <w:r>
        <w:t xml:space="preserve">n la página de la comunidad europea encontramos el documento </w:t>
      </w:r>
      <w:hyperlink r:id="rId8" w:history="1">
        <w:proofErr w:type="spellStart"/>
        <w:r>
          <w:rPr>
            <w:rStyle w:val="Hipervnculo"/>
            <w:i/>
            <w:iCs/>
          </w:rPr>
          <w:t>C</w:t>
        </w:r>
        <w:r w:rsidRPr="00B04C87">
          <w:rPr>
            <w:rStyle w:val="Hipervnculo"/>
            <w:i/>
            <w:iCs/>
          </w:rPr>
          <w:t>onsultation</w:t>
        </w:r>
        <w:proofErr w:type="spellEnd"/>
        <w:r w:rsidRPr="00B04C87">
          <w:rPr>
            <w:rStyle w:val="Hipervnculo"/>
            <w:i/>
            <w:iCs/>
          </w:rPr>
          <w:t xml:space="preserve"> </w:t>
        </w:r>
        <w:proofErr w:type="spellStart"/>
        <w:r w:rsidRPr="00B04C87">
          <w:rPr>
            <w:rStyle w:val="Hipervnculo"/>
            <w:i/>
            <w:iCs/>
          </w:rPr>
          <w:t>document</w:t>
        </w:r>
        <w:proofErr w:type="spellEnd"/>
        <w:r w:rsidRPr="00B04C87">
          <w:rPr>
            <w:rStyle w:val="Hipervnculo"/>
            <w:i/>
            <w:iCs/>
          </w:rPr>
          <w:t xml:space="preserve"> </w:t>
        </w:r>
        <w:proofErr w:type="spellStart"/>
        <w:r w:rsidRPr="00B04C87">
          <w:rPr>
            <w:rStyle w:val="Hipervnculo"/>
            <w:i/>
            <w:iCs/>
          </w:rPr>
          <w:t>on</w:t>
        </w:r>
        <w:proofErr w:type="spellEnd"/>
        <w:r w:rsidRPr="00B04C87">
          <w:rPr>
            <w:rStyle w:val="Hipervnculo"/>
            <w:i/>
            <w:iCs/>
          </w:rPr>
          <w:t xml:space="preserve"> </w:t>
        </w:r>
        <w:proofErr w:type="spellStart"/>
        <w:r w:rsidRPr="00B04C87">
          <w:rPr>
            <w:rStyle w:val="Hipervnculo"/>
            <w:i/>
            <w:iCs/>
          </w:rPr>
          <w:t>the</w:t>
        </w:r>
        <w:proofErr w:type="spellEnd"/>
        <w:r w:rsidRPr="00B04C87">
          <w:rPr>
            <w:rStyle w:val="Hipervnculo"/>
            <w:i/>
            <w:iCs/>
          </w:rPr>
          <w:t xml:space="preserve"> </w:t>
        </w:r>
        <w:proofErr w:type="spellStart"/>
        <w:r w:rsidRPr="00B04C87">
          <w:rPr>
            <w:rStyle w:val="Hipervnculo"/>
            <w:i/>
            <w:iCs/>
          </w:rPr>
          <w:t>update</w:t>
        </w:r>
        <w:proofErr w:type="spellEnd"/>
        <w:r w:rsidRPr="00B04C87">
          <w:rPr>
            <w:rStyle w:val="Hipervnculo"/>
            <w:i/>
            <w:iCs/>
          </w:rPr>
          <w:t xml:space="preserve"> </w:t>
        </w:r>
        <w:proofErr w:type="spellStart"/>
        <w:r w:rsidRPr="00B04C87">
          <w:rPr>
            <w:rStyle w:val="Hipervnculo"/>
            <w:i/>
            <w:iCs/>
          </w:rPr>
          <w:t>of</w:t>
        </w:r>
        <w:proofErr w:type="spellEnd"/>
        <w:r w:rsidRPr="00B04C87">
          <w:rPr>
            <w:rStyle w:val="Hipervnculo"/>
            <w:i/>
            <w:iCs/>
          </w:rPr>
          <w:t xml:space="preserve"> </w:t>
        </w:r>
        <w:proofErr w:type="spellStart"/>
        <w:r w:rsidRPr="00B04C87">
          <w:rPr>
            <w:rStyle w:val="Hipervnculo"/>
            <w:i/>
            <w:iCs/>
          </w:rPr>
          <w:t>the</w:t>
        </w:r>
        <w:proofErr w:type="spellEnd"/>
        <w:r w:rsidRPr="00B04C87">
          <w:rPr>
            <w:rStyle w:val="Hipervnculo"/>
            <w:i/>
            <w:iCs/>
          </w:rPr>
          <w:t xml:space="preserve"> non-</w:t>
        </w:r>
        <w:proofErr w:type="spellStart"/>
        <w:r w:rsidRPr="00B04C87">
          <w:rPr>
            <w:rStyle w:val="Hipervnculo"/>
            <w:i/>
            <w:iCs/>
          </w:rPr>
          <w:t>binding</w:t>
        </w:r>
        <w:proofErr w:type="spellEnd"/>
        <w:r w:rsidRPr="00B04C87">
          <w:rPr>
            <w:rStyle w:val="Hipervnculo"/>
            <w:i/>
            <w:iCs/>
          </w:rPr>
          <w:t xml:space="preserve"> </w:t>
        </w:r>
        <w:proofErr w:type="spellStart"/>
        <w:r w:rsidRPr="00B04C87">
          <w:rPr>
            <w:rStyle w:val="Hipervnculo"/>
            <w:i/>
            <w:iCs/>
          </w:rPr>
          <w:t>guidelines</w:t>
        </w:r>
        <w:proofErr w:type="spellEnd"/>
        <w:r w:rsidRPr="00B04C87">
          <w:rPr>
            <w:rStyle w:val="Hipervnculo"/>
            <w:i/>
            <w:iCs/>
          </w:rPr>
          <w:t xml:space="preserve"> </w:t>
        </w:r>
        <w:proofErr w:type="spellStart"/>
        <w:r w:rsidRPr="00B04C87">
          <w:rPr>
            <w:rStyle w:val="Hipervnculo"/>
            <w:i/>
            <w:iCs/>
          </w:rPr>
          <w:t>on</w:t>
        </w:r>
        <w:proofErr w:type="spellEnd"/>
        <w:r w:rsidRPr="00B04C87">
          <w:rPr>
            <w:rStyle w:val="Hipervnculo"/>
            <w:i/>
            <w:iCs/>
          </w:rPr>
          <w:t xml:space="preserve"> non-financial </w:t>
        </w:r>
        <w:proofErr w:type="spellStart"/>
        <w:r w:rsidRPr="00B04C87">
          <w:rPr>
            <w:rStyle w:val="Hipervnculo"/>
            <w:i/>
            <w:iCs/>
          </w:rPr>
          <w:t>reporting</w:t>
        </w:r>
        <w:proofErr w:type="spellEnd"/>
      </w:hyperlink>
      <w:r>
        <w:t xml:space="preserve">. </w:t>
      </w:r>
      <w:r w:rsidR="00A94CBF">
        <w:t xml:space="preserve">El documento trata sobre las revelaciones que deberían hacerse en materia del clima. </w:t>
      </w:r>
      <w:r w:rsidR="00A94CBF" w:rsidRPr="00A94CBF">
        <w:rPr>
          <w:lang w:val="en-US"/>
        </w:rPr>
        <w:t xml:space="preserve">Entre </w:t>
      </w:r>
      <w:proofErr w:type="spellStart"/>
      <w:r w:rsidR="00A94CBF" w:rsidRPr="00A94CBF">
        <w:rPr>
          <w:lang w:val="en-US"/>
        </w:rPr>
        <w:t>otras</w:t>
      </w:r>
      <w:proofErr w:type="spellEnd"/>
      <w:r w:rsidR="00A94CBF" w:rsidRPr="00A94CBF">
        <w:rPr>
          <w:lang w:val="en-US"/>
        </w:rPr>
        <w:t xml:space="preserve"> </w:t>
      </w:r>
      <w:proofErr w:type="spellStart"/>
      <w:r w:rsidR="00A94CBF" w:rsidRPr="00A94CBF">
        <w:rPr>
          <w:lang w:val="en-US"/>
        </w:rPr>
        <w:t>cosas</w:t>
      </w:r>
      <w:proofErr w:type="spellEnd"/>
      <w:r w:rsidR="00A94CBF" w:rsidRPr="00A94CBF">
        <w:rPr>
          <w:lang w:val="en-US"/>
        </w:rPr>
        <w:t xml:space="preserve">, </w:t>
      </w:r>
      <w:proofErr w:type="spellStart"/>
      <w:r w:rsidR="00A94CBF" w:rsidRPr="00A94CBF">
        <w:rPr>
          <w:lang w:val="en-US"/>
        </w:rPr>
        <w:t>en</w:t>
      </w:r>
      <w:proofErr w:type="spellEnd"/>
      <w:r w:rsidR="00A94CBF" w:rsidRPr="00A94CBF">
        <w:rPr>
          <w:lang w:val="en-US"/>
        </w:rPr>
        <w:t xml:space="preserve"> </w:t>
      </w:r>
      <w:proofErr w:type="spellStart"/>
      <w:r w:rsidR="00A94CBF" w:rsidRPr="00A94CBF">
        <w:rPr>
          <w:lang w:val="en-US"/>
        </w:rPr>
        <w:t>él</w:t>
      </w:r>
      <w:proofErr w:type="spellEnd"/>
      <w:r w:rsidR="00A94CBF" w:rsidRPr="00A94CBF">
        <w:rPr>
          <w:lang w:val="en-US"/>
        </w:rPr>
        <w:t xml:space="preserve"> se lee: “(…) </w:t>
      </w:r>
      <w:r w:rsidR="00A94CBF" w:rsidRPr="00A94CBF">
        <w:rPr>
          <w:i/>
          <w:iCs/>
          <w:lang w:val="en-US"/>
        </w:rPr>
        <w:t>When reporting on their climate-related risks, dependencies and opportunities, companies should, to the extent appropriate, consider their whole value chain, both upstream and downstream. This means following a product life cycle approach that takes account of climate issues in the supply chain and the sourcing of raw material, as well as during the use of the product and when the product reaches end-of-life.</w:t>
      </w:r>
      <w:r w:rsidR="00A94CBF">
        <w:rPr>
          <w:lang w:val="en-US"/>
        </w:rPr>
        <w:t xml:space="preserve"> (…)”</w:t>
      </w:r>
      <w:r w:rsidR="00F36787">
        <w:rPr>
          <w:lang w:val="en-US"/>
        </w:rPr>
        <w:t>.</w:t>
      </w:r>
      <w:r w:rsidR="0052053C">
        <w:rPr>
          <w:lang w:val="en-US"/>
        </w:rPr>
        <w:t xml:space="preserve"> </w:t>
      </w:r>
      <w:r w:rsidR="00A94CBF" w:rsidRPr="00A94CBF">
        <w:t>Ninguna empresa puede entenderse debidamente c</w:t>
      </w:r>
      <w:r w:rsidR="00A94CBF">
        <w:t>omo una isla. Todas las entidades están conectadas con otras, de muy diversas maneras. Son como eslabones de una gran cadena de valor. Lo que sucede en las empresas que le anteceden puede tener en la examinada un inmenso impacto. A su turno, una empresa puede afectar a todas las que le siguen en su cadena de valor.</w:t>
      </w:r>
      <w:r w:rsidR="008C29FB">
        <w:t xml:space="preserve"> </w:t>
      </w:r>
      <w:r w:rsidR="00F36787">
        <w:t xml:space="preserve">El documento considera varias fuentes, participando así en la tendencia mundial de convergencia: “(…) </w:t>
      </w:r>
      <w:r w:rsidR="00F36787" w:rsidRPr="00F36787">
        <w:rPr>
          <w:i/>
          <w:iCs/>
          <w:lang w:val="en-US"/>
        </w:rPr>
        <w:t xml:space="preserve">In addition to the TCFD, these guidelines also take particular account of the standards and frameworks developed by the Global Reporting Initiative (GRI), the CDP, the Carbon Disclosures Standards Board (CDSB), the Sustainability Accounting Standards Board (SASB) and the International Integrated Reporting Council (IIRC). </w:t>
      </w:r>
      <w:r w:rsidR="00F36787" w:rsidRPr="008C29FB">
        <w:rPr>
          <w:i/>
          <w:iCs/>
          <w:vertAlign w:val="superscript"/>
          <w:lang w:val="en-US"/>
        </w:rPr>
        <w:t>21</w:t>
      </w:r>
      <w:r w:rsidR="00F36787" w:rsidRPr="008C29FB">
        <w:rPr>
          <w:lang w:val="en-US"/>
        </w:rPr>
        <w:t xml:space="preserve"> (…)”</w:t>
      </w:r>
    </w:p>
    <w:p w14:paraId="6F14EDD3" w14:textId="0265BE19" w:rsidR="00F36787" w:rsidRDefault="0009593C" w:rsidP="0090722F">
      <w:pPr>
        <w:rPr>
          <w:lang w:val="en-US"/>
        </w:rPr>
      </w:pPr>
      <w:bookmarkStart w:id="0" w:name="_GoBack"/>
      <w:r>
        <w:t xml:space="preserve">El análisis económico se ha extendido mucho más allá de los estados financieros y de su </w:t>
      </w:r>
      <w:r>
        <w:t>corta visión de futuro, generalmente un año</w:t>
      </w:r>
      <w:bookmarkEnd w:id="0"/>
      <w:r>
        <w:t xml:space="preserve">. </w:t>
      </w:r>
      <w:r w:rsidRPr="0009593C">
        <w:rPr>
          <w:lang w:val="en-US"/>
        </w:rPr>
        <w:t xml:space="preserve">Se lee: “(…) </w:t>
      </w:r>
      <w:r w:rsidRPr="0009593C">
        <w:rPr>
          <w:i/>
          <w:iCs/>
          <w:lang w:val="en-US"/>
        </w:rPr>
        <w:t>Stakeholders may be interested in understanding the company’s view of how climate change might affect its business model and strategy, and how its activities affect the climate, over the short, medium and long term. To adequately report on climate related matters, companies may need to take a longer-term perspective than they normally do for financial reporting.</w:t>
      </w:r>
      <w:r>
        <w:rPr>
          <w:lang w:val="en-US"/>
        </w:rPr>
        <w:t xml:space="preserve"> (…)”.</w:t>
      </w:r>
    </w:p>
    <w:p w14:paraId="143A756A" w14:textId="119FDA99" w:rsidR="0009593C" w:rsidRDefault="0009593C" w:rsidP="0090722F">
      <w:r w:rsidRPr="0009593C">
        <w:t>Sabemos que hay empresas a q</w:t>
      </w:r>
      <w:r>
        <w:t>uienes no les preocupa el impacto que causan sobre los demás, sino cuánto podrán aprovechar si explotan al máximo su negocio. Esto sucede en todos los ámbitos y no solo en la minería. Por ejemplo, una mala escuela contable, que no procura el desarrollo de sus profesores</w:t>
      </w:r>
      <w:r w:rsidR="00706B3B">
        <w:t xml:space="preserve"> ni su interrelación con las comunidades académicas de avanzada, vive contenta cobrando </w:t>
      </w:r>
      <w:r w:rsidR="0052053C">
        <w:t>matrículas,</w:t>
      </w:r>
      <w:r w:rsidR="00706B3B">
        <w:t xml:space="preserve"> aunque sus egresados no sean tan competentes como se espera.</w:t>
      </w:r>
    </w:p>
    <w:p w14:paraId="0B8ADC1C" w14:textId="20ECC254" w:rsidR="008C29FB" w:rsidRDefault="0052053C" w:rsidP="0090722F">
      <w:r>
        <w:t xml:space="preserve">En esta materia se sigue la regla general del buen gobierno: “(…) </w:t>
      </w:r>
      <w:r w:rsidRPr="008C29FB">
        <w:rPr>
          <w:i/>
          <w:iCs/>
          <w:lang w:val="en-US"/>
        </w:rPr>
        <w:t xml:space="preserve">Governance and control systems are key to stakeholders’ understanding of the robustness of a company’s approach to climate-related issues. Information on the involvement of the board and management, </w:t>
      </w:r>
      <w:proofErr w:type="gramStart"/>
      <w:r w:rsidRPr="008C29FB">
        <w:rPr>
          <w:i/>
          <w:iCs/>
          <w:lang w:val="en-US"/>
        </w:rPr>
        <w:t>in particular their</w:t>
      </w:r>
      <w:proofErr w:type="gramEnd"/>
      <w:r w:rsidRPr="008C29FB">
        <w:rPr>
          <w:i/>
          <w:iCs/>
          <w:lang w:val="en-US"/>
        </w:rPr>
        <w:t xml:space="preserve"> respective responsibilities in relation to climate change, informs stakeholders on the level of the company’s awareness of climate-related issues. When describing the role of the board, the company may wish to make a reference to any corporate governance statement that it is required to publish</w:t>
      </w:r>
      <w:r>
        <w:rPr>
          <w:lang w:val="en-US"/>
        </w:rPr>
        <w:t xml:space="preserve">. </w:t>
      </w:r>
      <w:r w:rsidRPr="008C29FB">
        <w:t>(…)”</w:t>
      </w:r>
      <w:r w:rsidR="008C29FB" w:rsidRPr="008C29FB">
        <w:t>.</w:t>
      </w:r>
      <w:r w:rsidR="008C29FB">
        <w:t xml:space="preserve"> L</w:t>
      </w:r>
      <w:r w:rsidR="008C29FB" w:rsidRPr="008C29FB">
        <w:t>a visión de COSO puede ser e</w:t>
      </w:r>
      <w:r w:rsidR="008C29FB">
        <w:t>strecha.</w:t>
      </w:r>
    </w:p>
    <w:p w14:paraId="35E7E376" w14:textId="2B640B3E" w:rsidR="008C29FB" w:rsidRPr="008C29FB" w:rsidRDefault="008C29FB" w:rsidP="008C29FB">
      <w:pPr>
        <w:jc w:val="right"/>
        <w:rPr>
          <w:i/>
          <w:iCs/>
        </w:rPr>
      </w:pPr>
      <w:r w:rsidRPr="008C29FB">
        <w:rPr>
          <w:i/>
          <w:iCs/>
        </w:rPr>
        <w:t>Hernando Bermúdez Gómez</w:t>
      </w:r>
    </w:p>
    <w:sectPr w:rsidR="008C29FB" w:rsidRPr="008C29F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BB1A" w14:textId="77777777" w:rsidR="00942C4A" w:rsidRDefault="00942C4A" w:rsidP="00EE7812">
      <w:pPr>
        <w:spacing w:after="0" w:line="240" w:lineRule="auto"/>
      </w:pPr>
      <w:r>
        <w:separator/>
      </w:r>
    </w:p>
  </w:endnote>
  <w:endnote w:type="continuationSeparator" w:id="0">
    <w:p w14:paraId="049D861B" w14:textId="77777777" w:rsidR="00942C4A" w:rsidRDefault="00942C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53CC1" w14:textId="77777777" w:rsidR="00942C4A" w:rsidRDefault="00942C4A" w:rsidP="00EE7812">
      <w:pPr>
        <w:spacing w:after="0" w:line="240" w:lineRule="auto"/>
      </w:pPr>
      <w:r>
        <w:separator/>
      </w:r>
    </w:p>
  </w:footnote>
  <w:footnote w:type="continuationSeparator" w:id="0">
    <w:p w14:paraId="063DCD0C" w14:textId="77777777" w:rsidR="00942C4A" w:rsidRDefault="00942C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A01209" w:rsidR="00F23D44" w:rsidRDefault="00F23D44" w:rsidP="00613BC8">
    <w:pPr>
      <w:pStyle w:val="Encabezado"/>
      <w:tabs>
        <w:tab w:val="left" w:pos="2580"/>
        <w:tab w:val="left" w:pos="2985"/>
      </w:tabs>
      <w:spacing w:line="276" w:lineRule="auto"/>
      <w:jc w:val="right"/>
    </w:pPr>
    <w:r>
      <w:t>Número 442</w:t>
    </w:r>
    <w:r w:rsidR="0090722F">
      <w:t>8</w:t>
    </w:r>
    <w:r>
      <w:t>, 1 de julio</w:t>
    </w:r>
    <w:r w:rsidRPr="002255E7">
      <w:t xml:space="preserve"> </w:t>
    </w:r>
    <w:r>
      <w:t>de 2019</w:t>
    </w:r>
  </w:p>
  <w:p w14:paraId="29566F03" w14:textId="77777777" w:rsidR="00F23D44" w:rsidRDefault="00942C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4A"/>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1C"/>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styleId="Mencinsinresolver">
    <w:name w:val="Unresolved Mention"/>
    <w:basedOn w:val="Fuentedeprrafopredeter"/>
    <w:uiPriority w:val="99"/>
    <w:semiHidden/>
    <w:unhideWhenUsed/>
    <w:rsid w:val="00AB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info/files/business_economy_euro/banking_and_finance/documents/2019-non-financial-reporting-guidelines-consultation-document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BFF8-2508-4206-9D94-FC009E38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2019-06-29T16:16:00Z</dcterms:created>
  <dcterms:modified xsi:type="dcterms:W3CDTF">2019-06-29T16:16:00Z</dcterms:modified>
</cp:coreProperties>
</file>