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F0C25" w14:textId="2D50363F" w:rsidR="00053307" w:rsidRPr="00053307" w:rsidRDefault="00053307" w:rsidP="00053307">
      <w:pPr>
        <w:keepNext/>
        <w:framePr w:dropCap="drop" w:lines="3" w:wrap="around" w:vAnchor="text" w:hAnchor="text"/>
        <w:spacing w:after="0" w:line="926" w:lineRule="exact"/>
        <w:textAlignment w:val="baseline"/>
        <w:rPr>
          <w:position w:val="-8"/>
          <w:sz w:val="122"/>
        </w:rPr>
      </w:pPr>
      <w:r w:rsidRPr="00053307">
        <w:rPr>
          <w:position w:val="-8"/>
          <w:sz w:val="122"/>
        </w:rPr>
        <w:t>N</w:t>
      </w:r>
    </w:p>
    <w:p w14:paraId="6C1EEBED" w14:textId="2BD63E0E" w:rsidR="00CC35EE" w:rsidRDefault="00053307" w:rsidP="00A84F88">
      <w:r>
        <w:t xml:space="preserve">o entendemos por qué algunos insisten en sostener que las disposiciones de la ISAE 3000 no son apropiadas para evaluar el control interno. Nuestra mayor dificultad estriba en la falta de argumentos que podamos analizar. </w:t>
      </w:r>
      <w:r w:rsidR="00A84F88">
        <w:t xml:space="preserve">En el texto de ese estándar se lee: “(…) </w:t>
      </w:r>
      <w:proofErr w:type="spellStart"/>
      <w:r w:rsidR="00A84F88" w:rsidRPr="00A84F88">
        <w:rPr>
          <w:i/>
        </w:rPr>
        <w:t>Subject</w:t>
      </w:r>
      <w:proofErr w:type="spellEnd"/>
      <w:r w:rsidR="00A84F88" w:rsidRPr="00A84F88">
        <w:rPr>
          <w:i/>
        </w:rPr>
        <w:t xml:space="preserve"> </w:t>
      </w:r>
      <w:proofErr w:type="spellStart"/>
      <w:r w:rsidR="00A84F88" w:rsidRPr="00A84F88">
        <w:rPr>
          <w:i/>
        </w:rPr>
        <w:t>Matter</w:t>
      </w:r>
      <w:proofErr w:type="spellEnd"/>
      <w:r w:rsidR="00A84F88" w:rsidRPr="00A84F88">
        <w:rPr>
          <w:i/>
        </w:rPr>
        <w:t xml:space="preserve"> </w:t>
      </w:r>
      <w:proofErr w:type="spellStart"/>
      <w:r w:rsidR="00A84F88" w:rsidRPr="00A84F88">
        <w:rPr>
          <w:i/>
        </w:rPr>
        <w:t>Information</w:t>
      </w:r>
      <w:proofErr w:type="spellEnd"/>
      <w:r w:rsidR="00A84F88" w:rsidRPr="00A84F88">
        <w:rPr>
          <w:i/>
        </w:rPr>
        <w:t xml:space="preserve"> (</w:t>
      </w:r>
      <w:proofErr w:type="spellStart"/>
      <w:r w:rsidR="00A84F88" w:rsidRPr="00A84F88">
        <w:rPr>
          <w:i/>
        </w:rPr>
        <w:t>Ref</w:t>
      </w:r>
      <w:proofErr w:type="spellEnd"/>
      <w:r w:rsidR="00A84F88" w:rsidRPr="00A84F88">
        <w:rPr>
          <w:i/>
        </w:rPr>
        <w:t xml:space="preserve">: Para. 12(x), </w:t>
      </w:r>
      <w:proofErr w:type="spellStart"/>
      <w:r w:rsidR="00A84F88" w:rsidRPr="00A84F88">
        <w:rPr>
          <w:i/>
        </w:rPr>
        <w:t>Appendix</w:t>
      </w:r>
      <w:proofErr w:type="spellEnd"/>
      <w:r w:rsidR="00A84F88" w:rsidRPr="00A84F88">
        <w:rPr>
          <w:i/>
        </w:rPr>
        <w:t xml:space="preserve">) A19. </w:t>
      </w:r>
      <w:r w:rsidR="00A84F88" w:rsidRPr="00A84F88">
        <w:rPr>
          <w:i/>
          <w:lang w:val="en-US"/>
        </w:rPr>
        <w:t>In some cases, the subject matter information may be a statement that evaluates an aspect of a process, or of performance or compliance, in relation to the criteria. For example, “ABC’s internal control operated effectively in terms of XYZ criteria during the period ….” or “ABC’s governance structure conformed with XYZ criteria during the period …”.</w:t>
      </w:r>
      <w:r w:rsidR="00A84F88">
        <w:rPr>
          <w:lang w:val="en-US"/>
        </w:rPr>
        <w:t xml:space="preserve"> </w:t>
      </w:r>
      <w:r w:rsidR="00A84F88" w:rsidRPr="00A84F88">
        <w:t xml:space="preserve">(…)” Si la </w:t>
      </w:r>
      <w:r w:rsidR="00A84F88">
        <w:t>e</w:t>
      </w:r>
      <w:r w:rsidR="00A84F88" w:rsidRPr="00A84F88">
        <w:t>valuación de la eficacia del control interno sirve de ejemplo para explicar los asuntos que podr</w:t>
      </w:r>
      <w:r w:rsidR="00A84F88">
        <w:t>ían cubrirse con la regla, es innegable que si puede utilizarse el estándar con dichos propósitos.</w:t>
      </w:r>
    </w:p>
    <w:p w14:paraId="55175C87" w14:textId="01EEB848" w:rsidR="00A84F88" w:rsidRDefault="00A84F88" w:rsidP="00A84F88">
      <w:r w:rsidRPr="00A84F88">
        <w:rPr>
          <w:lang w:val="en-US"/>
        </w:rPr>
        <w:t xml:space="preserve">El </w:t>
      </w:r>
      <w:proofErr w:type="spellStart"/>
      <w:r w:rsidRPr="00A84F88">
        <w:rPr>
          <w:lang w:val="en-US"/>
        </w:rPr>
        <w:t>estándar</w:t>
      </w:r>
      <w:proofErr w:type="spellEnd"/>
      <w:r w:rsidRPr="00A84F88">
        <w:rPr>
          <w:lang w:val="en-US"/>
        </w:rPr>
        <w:t xml:space="preserve"> </w:t>
      </w:r>
      <w:proofErr w:type="spellStart"/>
      <w:r w:rsidRPr="00A84F88">
        <w:rPr>
          <w:lang w:val="en-US"/>
        </w:rPr>
        <w:t>también</w:t>
      </w:r>
      <w:proofErr w:type="spellEnd"/>
      <w:r w:rsidRPr="00A84F88">
        <w:rPr>
          <w:lang w:val="en-US"/>
        </w:rPr>
        <w:t xml:space="preserve"> </w:t>
      </w:r>
      <w:proofErr w:type="spellStart"/>
      <w:r w:rsidRPr="00A84F88">
        <w:rPr>
          <w:lang w:val="en-US"/>
        </w:rPr>
        <w:t>indica</w:t>
      </w:r>
      <w:proofErr w:type="spellEnd"/>
      <w:r w:rsidRPr="00A84F88">
        <w:rPr>
          <w:lang w:val="en-US"/>
        </w:rPr>
        <w:t xml:space="preserve">: “(…) </w:t>
      </w:r>
      <w:r w:rsidRPr="00A84F88">
        <w:rPr>
          <w:i/>
          <w:lang w:val="en-US"/>
        </w:rPr>
        <w:t xml:space="preserve">Examples of Attestation Engagements (Ref: Para. 12(a)(ii)(a)) A8. Examples of engagements that may be conducted under this ISAE include: (a) Sustainability – An engagement on sustainability involves obtaining assurance on a report prepared by management or management’s expert (the measurer or evaluator) on the sustainability performance of the entity.  (b) Compliance with law or regulation – An engagement on compliance with law or regulation involves obtaining assurance on a statement by another party (the measurer or evaluator) of compliance with the relevant law or regulation.  (c) Value for money – An engagement on value for money involves </w:t>
      </w:r>
      <w:r w:rsidRPr="00A84F88">
        <w:rPr>
          <w:i/>
          <w:lang w:val="en-US"/>
        </w:rPr>
        <w:t>obtaining assurance on a measurement or evaluation of value for money by another party (the measurer or evaluator).</w:t>
      </w:r>
      <w:r>
        <w:rPr>
          <w:lang w:val="en-US"/>
        </w:rPr>
        <w:t xml:space="preserve"> </w:t>
      </w:r>
      <w:r w:rsidRPr="00AE0D30">
        <w:t>(…)”</w:t>
      </w:r>
      <w:r w:rsidR="00AE0D30" w:rsidRPr="00AE0D30">
        <w:t>. De manera que la ISAE mencionada también es apropiada para examinar e informar sobre el cumplimiento.</w:t>
      </w:r>
    </w:p>
    <w:p w14:paraId="3E204E4A" w14:textId="5BC8C771" w:rsidR="00AE0D30" w:rsidRDefault="00AE0D30" w:rsidP="00A84F88">
      <w:bookmarkStart w:id="0" w:name="_GoBack"/>
      <w:r>
        <w:t>En el marco de las reglas construidas por el IAASB, no es apropiado usar las normas de auditoría o de revisión para evaluar la eficacia del control interno o el cumplimiento de las disposiciones externas e internas, porque la evidencia no consiste en información financiera histórica</w:t>
      </w:r>
      <w:bookmarkEnd w:id="0"/>
      <w:r>
        <w:t>. Recordemos que ahora no se dice a secas auditoría, sino auditoría de información financiera histórica.</w:t>
      </w:r>
    </w:p>
    <w:p w14:paraId="40983083" w14:textId="51F9AECD" w:rsidR="00AE0D30" w:rsidRDefault="008E7367" w:rsidP="008E7367">
      <w:pPr>
        <w:rPr>
          <w:lang w:val="en-US"/>
        </w:rPr>
      </w:pPr>
      <w:r>
        <w:t xml:space="preserve">Por otra parte, debemos recordar que el revisor fiscal no es un instrumento de control, pues esta tarea incumbe a los administradores. El re-visa. Es decir: sobre un asunto habrá, al menos, dos exámenes: uno que llevará a cabo el propio administrador siguiendo metodologías como la de control total de la calidad y otro por parte del auditor estatutario, que se adelantará aplicando las normas que le son propias, es decir, la ISAE 3000. </w:t>
      </w:r>
      <w:r w:rsidRPr="008E7367">
        <w:rPr>
          <w:lang w:val="en-US"/>
        </w:rPr>
        <w:t xml:space="preserve">Un </w:t>
      </w:r>
      <w:proofErr w:type="spellStart"/>
      <w:r w:rsidRPr="008E7367">
        <w:rPr>
          <w:lang w:val="en-US"/>
        </w:rPr>
        <w:t>profesional</w:t>
      </w:r>
      <w:proofErr w:type="spellEnd"/>
      <w:r w:rsidRPr="008E7367">
        <w:rPr>
          <w:lang w:val="en-US"/>
        </w:rPr>
        <w:t xml:space="preserve"> de la </w:t>
      </w:r>
      <w:proofErr w:type="spellStart"/>
      <w:r w:rsidRPr="008E7367">
        <w:rPr>
          <w:lang w:val="en-US"/>
        </w:rPr>
        <w:t>contabilidad</w:t>
      </w:r>
      <w:proofErr w:type="spellEnd"/>
      <w:r w:rsidRPr="008E7367">
        <w:rPr>
          <w:lang w:val="en-US"/>
        </w:rPr>
        <w:t xml:space="preserve"> </w:t>
      </w:r>
      <w:proofErr w:type="spellStart"/>
      <w:r w:rsidRPr="008E7367">
        <w:rPr>
          <w:lang w:val="en-US"/>
        </w:rPr>
        <w:t>puede</w:t>
      </w:r>
      <w:proofErr w:type="spellEnd"/>
      <w:r w:rsidRPr="008E7367">
        <w:rPr>
          <w:lang w:val="en-US"/>
        </w:rPr>
        <w:t xml:space="preserve"> </w:t>
      </w:r>
      <w:proofErr w:type="spellStart"/>
      <w:r w:rsidRPr="008E7367">
        <w:rPr>
          <w:lang w:val="en-US"/>
        </w:rPr>
        <w:t>aplicar</w:t>
      </w:r>
      <w:proofErr w:type="spellEnd"/>
      <w:r w:rsidRPr="008E7367">
        <w:rPr>
          <w:lang w:val="en-US"/>
        </w:rPr>
        <w:t xml:space="preserve"> el </w:t>
      </w:r>
      <w:r w:rsidR="00A76C58">
        <w:fldChar w:fldCharType="begin"/>
      </w:r>
      <w:r w:rsidR="00A76C58" w:rsidRPr="006E3498">
        <w:rPr>
          <w:lang w:val="en-US"/>
        </w:rPr>
        <w:instrText xml:space="preserve"> HYPERLINK "https://www.auasb.gov.au/admin/file/content102/c3/ASAE_3100_Compliance_Engagements.pdf" </w:instrText>
      </w:r>
      <w:r w:rsidR="00A76C58">
        <w:fldChar w:fldCharType="separate"/>
      </w:r>
      <w:r w:rsidRPr="008E7367">
        <w:rPr>
          <w:rStyle w:val="Hipervnculo"/>
          <w:i/>
          <w:lang w:val="en-US"/>
        </w:rPr>
        <w:t>Standard on Assurance Engagements ASAE 3100 Compliance Engagements</w:t>
      </w:r>
      <w:r w:rsidR="00A76C58">
        <w:rPr>
          <w:rStyle w:val="Hipervnculo"/>
          <w:i/>
          <w:lang w:val="en-US"/>
        </w:rPr>
        <w:fldChar w:fldCharType="end"/>
      </w:r>
      <w:r w:rsidRPr="008E7367">
        <w:rPr>
          <w:lang w:val="en-US"/>
        </w:rPr>
        <w:t xml:space="preserve"> </w:t>
      </w:r>
      <w:r w:rsidRPr="00077CD6">
        <w:rPr>
          <w:i/>
          <w:lang w:val="en-US"/>
        </w:rPr>
        <w:t>Issued by the Auditing and Assurance Standards Board</w:t>
      </w:r>
      <w:r>
        <w:rPr>
          <w:lang w:val="en-US"/>
        </w:rPr>
        <w:t xml:space="preserve">, </w:t>
      </w:r>
      <w:proofErr w:type="spellStart"/>
      <w:r>
        <w:rPr>
          <w:lang w:val="en-US"/>
        </w:rPr>
        <w:t>autoridad</w:t>
      </w:r>
      <w:proofErr w:type="spellEnd"/>
      <w:r>
        <w:rPr>
          <w:lang w:val="en-US"/>
        </w:rPr>
        <w:t xml:space="preserve"> </w:t>
      </w:r>
      <w:proofErr w:type="spellStart"/>
      <w:r w:rsidR="00077CD6">
        <w:rPr>
          <w:lang w:val="en-US"/>
        </w:rPr>
        <w:t>a</w:t>
      </w:r>
      <w:r>
        <w:rPr>
          <w:lang w:val="en-US"/>
        </w:rPr>
        <w:t>ustraliana</w:t>
      </w:r>
      <w:proofErr w:type="spellEnd"/>
      <w:r>
        <w:rPr>
          <w:lang w:val="en-US"/>
        </w:rPr>
        <w:t>.</w:t>
      </w:r>
    </w:p>
    <w:p w14:paraId="72B3CE74" w14:textId="076994A7" w:rsidR="00077CD6" w:rsidRPr="00C707EE" w:rsidRDefault="00C707EE" w:rsidP="008E7367">
      <w:r w:rsidRPr="00C707EE">
        <w:t>Obviamente la base o fundamento de estos trabajos es la responsabilidad expresa y completa de los administradores por la eficacia del control interno y el cumplimiento.</w:t>
      </w:r>
    </w:p>
    <w:p w14:paraId="7878748D" w14:textId="1759DA28" w:rsidR="00C707EE" w:rsidRPr="00C707EE" w:rsidRDefault="00C707EE" w:rsidP="00C707EE">
      <w:pPr>
        <w:jc w:val="right"/>
        <w:rPr>
          <w:i/>
        </w:rPr>
      </w:pPr>
      <w:r w:rsidRPr="00C707EE">
        <w:rPr>
          <w:i/>
        </w:rPr>
        <w:t>Hernando Bermúdez Gómez</w:t>
      </w:r>
    </w:p>
    <w:sectPr w:rsidR="00C707EE" w:rsidRPr="00C707E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C5943" w14:textId="77777777" w:rsidR="00A76C58" w:rsidRDefault="00A76C58" w:rsidP="00EE7812">
      <w:pPr>
        <w:spacing w:after="0" w:line="240" w:lineRule="auto"/>
      </w:pPr>
      <w:r>
        <w:separator/>
      </w:r>
    </w:p>
  </w:endnote>
  <w:endnote w:type="continuationSeparator" w:id="0">
    <w:p w14:paraId="35B522BC" w14:textId="77777777" w:rsidR="00A76C58" w:rsidRDefault="00A76C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68287" w14:textId="77777777" w:rsidR="00A76C58" w:rsidRDefault="00A76C58" w:rsidP="00EE7812">
      <w:pPr>
        <w:spacing w:after="0" w:line="240" w:lineRule="auto"/>
      </w:pPr>
      <w:r>
        <w:separator/>
      </w:r>
    </w:p>
  </w:footnote>
  <w:footnote w:type="continuationSeparator" w:id="0">
    <w:p w14:paraId="078F03B5" w14:textId="77777777" w:rsidR="00A76C58" w:rsidRDefault="00A76C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E586AD" w:rsidR="00F23D44" w:rsidRDefault="00AB5FF1" w:rsidP="00613BC8">
    <w:pPr>
      <w:pStyle w:val="Encabezado"/>
      <w:tabs>
        <w:tab w:val="left" w:pos="2580"/>
        <w:tab w:val="left" w:pos="2985"/>
      </w:tabs>
      <w:spacing w:line="276" w:lineRule="auto"/>
      <w:jc w:val="right"/>
    </w:pPr>
    <w:r>
      <w:t>Número 443</w:t>
    </w:r>
    <w:r w:rsidR="00053307">
      <w:t>6</w:t>
    </w:r>
    <w:r w:rsidR="00F23D44">
      <w:t>, 1 de julio</w:t>
    </w:r>
    <w:r w:rsidR="00F23D44" w:rsidRPr="002255E7">
      <w:t xml:space="preserve"> </w:t>
    </w:r>
    <w:r w:rsidR="00F23D44">
      <w:t>de 2019</w:t>
    </w:r>
  </w:p>
  <w:p w14:paraId="29566F03" w14:textId="77777777" w:rsidR="00F23D44" w:rsidRDefault="00A76C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498"/>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C58"/>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E75A-01F3-4873-B353-A956F66F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2019-06-29T16:50:00Z</dcterms:created>
  <dcterms:modified xsi:type="dcterms:W3CDTF">2019-06-29T16:50:00Z</dcterms:modified>
</cp:coreProperties>
</file>