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E862C" w14:textId="27E7C630" w:rsidR="007B1A21" w:rsidRPr="007B1A21" w:rsidRDefault="007B1A21" w:rsidP="007B1A21">
      <w:pPr>
        <w:keepNext/>
        <w:framePr w:dropCap="drop" w:lines="3" w:wrap="around" w:vAnchor="text" w:hAnchor="text"/>
        <w:spacing w:after="0" w:line="926" w:lineRule="exact"/>
        <w:textAlignment w:val="baseline"/>
        <w:rPr>
          <w:position w:val="-7"/>
          <w:sz w:val="120"/>
        </w:rPr>
      </w:pPr>
      <w:bookmarkStart w:id="0" w:name="_GoBack"/>
      <w:bookmarkEnd w:id="0"/>
      <w:r w:rsidRPr="007B1A21">
        <w:rPr>
          <w:position w:val="-7"/>
          <w:sz w:val="120"/>
        </w:rPr>
        <w:t>S</w:t>
      </w:r>
    </w:p>
    <w:p w14:paraId="534047BC" w14:textId="1B6281BE" w:rsidR="007B1A21" w:rsidRPr="007B1A21" w:rsidRDefault="007B1A21" w:rsidP="007B1A21">
      <w:r w:rsidRPr="007B1A21">
        <w:t xml:space="preserve">egún lo indicado en el párrafo 15 del Prólogo a las Normas NIIF, </w:t>
      </w:r>
      <w:r w:rsidRPr="007B1A21">
        <w:rPr>
          <w:i/>
          <w:iCs/>
        </w:rPr>
        <w:t>“El texto aprobado de cada documento de discusión, proyecto de norma o Norma es el publicado por el Consejo en inglés.”</w:t>
      </w:r>
      <w:r w:rsidRPr="007B1A21">
        <w:t xml:space="preserve"> Esto significa que por ser el idioma original el inglés, las expresiones o palabras que allí se usen deberán sujetarse a la definición usada en inglés para garantizar un adecuado entendimiento y, por ende, una adecuada interpretación de su contenido final.</w:t>
      </w:r>
      <w:r w:rsidR="009D3325">
        <w:t xml:space="preserve"> </w:t>
      </w:r>
      <w:r w:rsidRPr="007B1A21">
        <w:t>Tal es el caso de la palabra en inglés “</w:t>
      </w:r>
      <w:proofErr w:type="spellStart"/>
      <w:r w:rsidRPr="007B1A21">
        <w:t>relevant</w:t>
      </w:r>
      <w:proofErr w:type="spellEnd"/>
      <w:r w:rsidRPr="007B1A21">
        <w:t>” que ha sido traducida como “relevante” al idioma español, cuando su significado en ambos idiomas es diferente.</w:t>
      </w:r>
    </w:p>
    <w:tbl>
      <w:tblPr>
        <w:tblStyle w:val="Tablaconcuadrcula"/>
        <w:tblW w:w="0" w:type="auto"/>
        <w:tblLook w:val="0620" w:firstRow="1" w:lastRow="0" w:firstColumn="0" w:lastColumn="0" w:noHBand="1" w:noVBand="1"/>
      </w:tblPr>
      <w:tblGrid>
        <w:gridCol w:w="1326"/>
        <w:gridCol w:w="1458"/>
        <w:gridCol w:w="1271"/>
      </w:tblGrid>
      <w:tr w:rsidR="007B1A21" w:rsidRPr="007B1A21" w14:paraId="5F22BA17" w14:textId="77777777" w:rsidTr="00C133A1">
        <w:tc>
          <w:tcPr>
            <w:tcW w:w="2784" w:type="dxa"/>
            <w:gridSpan w:val="2"/>
            <w:vAlign w:val="center"/>
          </w:tcPr>
          <w:p w14:paraId="640CD40E" w14:textId="77777777" w:rsidR="007B1A21" w:rsidRPr="007B1A21" w:rsidRDefault="007B1A21" w:rsidP="009D3325">
            <w:pPr>
              <w:spacing w:line="240" w:lineRule="auto"/>
              <w:rPr>
                <w:b/>
                <w:bCs/>
                <w:sz w:val="16"/>
                <w:szCs w:val="16"/>
              </w:rPr>
            </w:pPr>
            <w:r w:rsidRPr="007B1A21">
              <w:rPr>
                <w:b/>
                <w:bCs/>
                <w:sz w:val="16"/>
                <w:szCs w:val="16"/>
              </w:rPr>
              <w:t xml:space="preserve">www.lexico.com/en: </w:t>
            </w:r>
            <w:proofErr w:type="spellStart"/>
            <w:r w:rsidRPr="007B1A21">
              <w:rPr>
                <w:b/>
                <w:bCs/>
                <w:sz w:val="16"/>
                <w:szCs w:val="16"/>
              </w:rPr>
              <w:t>Relevant</w:t>
            </w:r>
            <w:proofErr w:type="spellEnd"/>
          </w:p>
        </w:tc>
        <w:tc>
          <w:tcPr>
            <w:tcW w:w="1271" w:type="dxa"/>
            <w:vMerge w:val="restart"/>
            <w:vAlign w:val="center"/>
          </w:tcPr>
          <w:p w14:paraId="5B301857" w14:textId="77777777" w:rsidR="007B1A21" w:rsidRPr="007B1A21" w:rsidRDefault="007B1A21" w:rsidP="009D3325">
            <w:pPr>
              <w:spacing w:line="240" w:lineRule="auto"/>
              <w:rPr>
                <w:b/>
                <w:bCs/>
                <w:sz w:val="16"/>
                <w:szCs w:val="16"/>
              </w:rPr>
            </w:pPr>
            <w:r w:rsidRPr="007B1A21">
              <w:rPr>
                <w:b/>
                <w:bCs/>
                <w:sz w:val="16"/>
                <w:szCs w:val="16"/>
              </w:rPr>
              <w:t>www.rae.es: Relevante</w:t>
            </w:r>
          </w:p>
        </w:tc>
      </w:tr>
      <w:tr w:rsidR="007B1A21" w:rsidRPr="007B1A21" w14:paraId="26582AC4" w14:textId="77777777" w:rsidTr="00C133A1">
        <w:tc>
          <w:tcPr>
            <w:tcW w:w="1326" w:type="dxa"/>
          </w:tcPr>
          <w:p w14:paraId="5249E131" w14:textId="77777777" w:rsidR="007B1A21" w:rsidRPr="007B1A21" w:rsidRDefault="007B1A21" w:rsidP="009D3325">
            <w:pPr>
              <w:spacing w:line="240" w:lineRule="auto"/>
              <w:rPr>
                <w:b/>
                <w:bCs/>
                <w:sz w:val="16"/>
                <w:szCs w:val="16"/>
              </w:rPr>
            </w:pPr>
            <w:r w:rsidRPr="007B1A21">
              <w:rPr>
                <w:b/>
                <w:bCs/>
                <w:sz w:val="16"/>
                <w:szCs w:val="16"/>
              </w:rPr>
              <w:t>Definición en inglés</w:t>
            </w:r>
          </w:p>
        </w:tc>
        <w:tc>
          <w:tcPr>
            <w:tcW w:w="1458" w:type="dxa"/>
          </w:tcPr>
          <w:p w14:paraId="7750F0A9" w14:textId="77777777" w:rsidR="007B1A21" w:rsidRPr="007B1A21" w:rsidRDefault="007B1A21" w:rsidP="009D3325">
            <w:pPr>
              <w:spacing w:line="240" w:lineRule="auto"/>
              <w:rPr>
                <w:b/>
                <w:bCs/>
                <w:sz w:val="16"/>
                <w:szCs w:val="16"/>
              </w:rPr>
            </w:pPr>
            <w:r w:rsidRPr="007B1A21">
              <w:rPr>
                <w:b/>
                <w:bCs/>
                <w:sz w:val="16"/>
                <w:szCs w:val="16"/>
              </w:rPr>
              <w:t>Traducción libre al español</w:t>
            </w:r>
          </w:p>
        </w:tc>
        <w:tc>
          <w:tcPr>
            <w:tcW w:w="1271" w:type="dxa"/>
            <w:vMerge/>
          </w:tcPr>
          <w:p w14:paraId="772D77C1" w14:textId="77777777" w:rsidR="007B1A21" w:rsidRPr="007B1A21" w:rsidRDefault="007B1A21" w:rsidP="007B1A21">
            <w:pPr>
              <w:rPr>
                <w:b/>
                <w:bCs/>
                <w:sz w:val="16"/>
                <w:szCs w:val="16"/>
              </w:rPr>
            </w:pPr>
          </w:p>
        </w:tc>
      </w:tr>
      <w:tr w:rsidR="007B1A21" w:rsidRPr="007B1A21" w14:paraId="44F10201" w14:textId="77777777" w:rsidTr="00C133A1">
        <w:tc>
          <w:tcPr>
            <w:tcW w:w="1326" w:type="dxa"/>
            <w:vAlign w:val="center"/>
          </w:tcPr>
          <w:p w14:paraId="1F6D5A3A" w14:textId="77777777" w:rsidR="007B1A21" w:rsidRPr="007B1A21" w:rsidRDefault="007B1A21" w:rsidP="00845C62">
            <w:pPr>
              <w:spacing w:line="240" w:lineRule="auto"/>
              <w:rPr>
                <w:sz w:val="16"/>
                <w:szCs w:val="16"/>
                <w:lang w:val="en-US"/>
              </w:rPr>
            </w:pPr>
            <w:r w:rsidRPr="007B1A21">
              <w:rPr>
                <w:sz w:val="16"/>
                <w:szCs w:val="16"/>
                <w:lang w:val="en-US"/>
              </w:rPr>
              <w:t>1. Closely connected or appropriate to what is being done or considered.</w:t>
            </w:r>
          </w:p>
        </w:tc>
        <w:tc>
          <w:tcPr>
            <w:tcW w:w="1458" w:type="dxa"/>
            <w:vAlign w:val="center"/>
          </w:tcPr>
          <w:p w14:paraId="412B1F50" w14:textId="1621765E" w:rsidR="007B1A21" w:rsidRPr="007B1A21" w:rsidRDefault="007B1A21" w:rsidP="00845C62">
            <w:pPr>
              <w:spacing w:line="240" w:lineRule="auto"/>
              <w:rPr>
                <w:sz w:val="16"/>
                <w:szCs w:val="16"/>
              </w:rPr>
            </w:pPr>
            <w:r w:rsidRPr="007B1A21">
              <w:rPr>
                <w:sz w:val="16"/>
                <w:szCs w:val="16"/>
              </w:rPr>
              <w:t>Estrechamente conectado o apropiado a lo que se está haciendo o considerando</w:t>
            </w:r>
          </w:p>
        </w:tc>
        <w:tc>
          <w:tcPr>
            <w:tcW w:w="1271" w:type="dxa"/>
            <w:vAlign w:val="center"/>
          </w:tcPr>
          <w:p w14:paraId="2E5D1B67" w14:textId="77777777" w:rsidR="007B1A21" w:rsidRPr="007B1A21" w:rsidRDefault="007B1A21" w:rsidP="00845C62">
            <w:pPr>
              <w:spacing w:line="240" w:lineRule="auto"/>
              <w:rPr>
                <w:sz w:val="16"/>
                <w:szCs w:val="16"/>
              </w:rPr>
            </w:pPr>
            <w:r w:rsidRPr="007B1A21">
              <w:rPr>
                <w:sz w:val="16"/>
                <w:szCs w:val="16"/>
              </w:rPr>
              <w:t>S</w:t>
            </w:r>
            <w:r w:rsidRPr="007B1A21">
              <w:rPr>
                <w:rFonts w:hint="eastAsia"/>
                <w:sz w:val="16"/>
                <w:szCs w:val="16"/>
              </w:rPr>
              <w:t>obresaliente,</w:t>
            </w:r>
            <w:r w:rsidRPr="007B1A21">
              <w:rPr>
                <w:sz w:val="16"/>
                <w:szCs w:val="16"/>
              </w:rPr>
              <w:t xml:space="preserve"> </w:t>
            </w:r>
            <w:r w:rsidRPr="007B1A21">
              <w:rPr>
                <w:rFonts w:hint="eastAsia"/>
                <w:sz w:val="16"/>
                <w:szCs w:val="16"/>
              </w:rPr>
              <w:t>destacado.</w:t>
            </w:r>
          </w:p>
        </w:tc>
      </w:tr>
      <w:tr w:rsidR="007B1A21" w:rsidRPr="007B1A21" w14:paraId="1291CDFE" w14:textId="77777777" w:rsidTr="00C133A1">
        <w:tc>
          <w:tcPr>
            <w:tcW w:w="1326" w:type="dxa"/>
            <w:vAlign w:val="center"/>
          </w:tcPr>
          <w:p w14:paraId="6CE6B40E" w14:textId="77777777" w:rsidR="007B1A21" w:rsidRPr="007B1A21" w:rsidRDefault="007B1A21" w:rsidP="00845C62">
            <w:pPr>
              <w:spacing w:line="240" w:lineRule="auto"/>
              <w:rPr>
                <w:sz w:val="16"/>
                <w:szCs w:val="16"/>
                <w:lang w:val="en-US"/>
              </w:rPr>
            </w:pPr>
            <w:r w:rsidRPr="007B1A21">
              <w:rPr>
                <w:sz w:val="16"/>
                <w:szCs w:val="16"/>
                <w:lang w:val="en-US"/>
              </w:rPr>
              <w:t>Appropriate to the current time, period, or circumstances; of contemporary interest.</w:t>
            </w:r>
          </w:p>
        </w:tc>
        <w:tc>
          <w:tcPr>
            <w:tcW w:w="1458" w:type="dxa"/>
            <w:vAlign w:val="center"/>
          </w:tcPr>
          <w:p w14:paraId="6996792A" w14:textId="77777777" w:rsidR="007B1A21" w:rsidRPr="007B1A21" w:rsidRDefault="007B1A21" w:rsidP="00845C62">
            <w:pPr>
              <w:spacing w:line="240" w:lineRule="auto"/>
              <w:rPr>
                <w:sz w:val="16"/>
                <w:szCs w:val="16"/>
              </w:rPr>
            </w:pPr>
            <w:r w:rsidRPr="007B1A21">
              <w:rPr>
                <w:sz w:val="16"/>
                <w:szCs w:val="16"/>
              </w:rPr>
              <w:t>Apropiado para el tiempo, período o circunstancias actuales; de interés contemporáneo.</w:t>
            </w:r>
          </w:p>
        </w:tc>
        <w:tc>
          <w:tcPr>
            <w:tcW w:w="1271" w:type="dxa"/>
            <w:vAlign w:val="center"/>
          </w:tcPr>
          <w:p w14:paraId="4CB338AB" w14:textId="3A3F41AE" w:rsidR="007B1A21" w:rsidRPr="007B1A21" w:rsidRDefault="007B1A21" w:rsidP="00845C62">
            <w:pPr>
              <w:spacing w:line="240" w:lineRule="auto"/>
              <w:rPr>
                <w:sz w:val="16"/>
                <w:szCs w:val="16"/>
              </w:rPr>
            </w:pPr>
            <w:r w:rsidRPr="007B1A21">
              <w:rPr>
                <w:rFonts w:hint="eastAsia"/>
                <w:sz w:val="16"/>
                <w:szCs w:val="16"/>
              </w:rPr>
              <w:t>Importante</w:t>
            </w:r>
            <w:r w:rsidR="00845C62" w:rsidRPr="0013566E">
              <w:rPr>
                <w:sz w:val="16"/>
                <w:szCs w:val="16"/>
              </w:rPr>
              <w:t>,</w:t>
            </w:r>
            <w:r w:rsidRPr="007B1A21">
              <w:rPr>
                <w:sz w:val="16"/>
                <w:szCs w:val="16"/>
              </w:rPr>
              <w:t xml:space="preserve"> </w:t>
            </w:r>
            <w:r w:rsidRPr="007B1A21">
              <w:rPr>
                <w:rFonts w:hint="eastAsia"/>
                <w:sz w:val="16"/>
                <w:szCs w:val="16"/>
              </w:rPr>
              <w:t>significativ</w:t>
            </w:r>
            <w:r w:rsidR="00845C62" w:rsidRPr="0013566E">
              <w:rPr>
                <w:sz w:val="16"/>
                <w:szCs w:val="16"/>
              </w:rPr>
              <w:t>o</w:t>
            </w:r>
            <w:r w:rsidRPr="007B1A21">
              <w:rPr>
                <w:rFonts w:hint="eastAsia"/>
                <w:sz w:val="16"/>
                <w:szCs w:val="16"/>
              </w:rPr>
              <w:t>.</w:t>
            </w:r>
          </w:p>
        </w:tc>
      </w:tr>
    </w:tbl>
    <w:p w14:paraId="0603EAA9" w14:textId="7AB5BDE4" w:rsidR="007B1A21" w:rsidRPr="007B1A21" w:rsidRDefault="007B1A21" w:rsidP="007B1A21">
      <w:r w:rsidRPr="007B1A21">
        <w:t>Como se advierte, una cosa es “</w:t>
      </w:r>
      <w:proofErr w:type="spellStart"/>
      <w:r w:rsidRPr="007B1A21">
        <w:t>relevant</w:t>
      </w:r>
      <w:proofErr w:type="spellEnd"/>
      <w:r w:rsidRPr="007B1A21">
        <w:t xml:space="preserve">” y otra cosa diferente es “relevante”. Lo que significa que la traducción más apropiada, y como debe entenderse en la normatividad, es “pertinente” que, según el diccionario de la lengua española significa </w:t>
      </w:r>
      <w:r w:rsidRPr="007B1A21">
        <w:rPr>
          <w:i/>
          <w:iCs/>
        </w:rPr>
        <w:t xml:space="preserve">“1. </w:t>
      </w:r>
      <w:r w:rsidRPr="007B1A21">
        <w:rPr>
          <w:rFonts w:hint="eastAsia"/>
          <w:i/>
          <w:iCs/>
        </w:rPr>
        <w:t>adj.</w:t>
      </w:r>
      <w:r w:rsidRPr="007B1A21">
        <w:rPr>
          <w:i/>
          <w:iCs/>
        </w:rPr>
        <w:t xml:space="preserve"> </w:t>
      </w:r>
      <w:r w:rsidRPr="007B1A21">
        <w:rPr>
          <w:rFonts w:hint="eastAsia"/>
          <w:i/>
          <w:iCs/>
        </w:rPr>
        <w:t>Perteneciente</w:t>
      </w:r>
      <w:r w:rsidRPr="007B1A21">
        <w:rPr>
          <w:i/>
          <w:iCs/>
        </w:rPr>
        <w:t xml:space="preserve"> </w:t>
      </w:r>
      <w:r w:rsidRPr="007B1A21">
        <w:rPr>
          <w:rFonts w:hint="eastAsia"/>
          <w:i/>
          <w:iCs/>
        </w:rPr>
        <w:t>o</w:t>
      </w:r>
      <w:r w:rsidRPr="007B1A21">
        <w:rPr>
          <w:i/>
          <w:iCs/>
        </w:rPr>
        <w:t xml:space="preserve"> </w:t>
      </w:r>
      <w:r w:rsidRPr="007B1A21">
        <w:rPr>
          <w:rFonts w:hint="eastAsia"/>
          <w:i/>
          <w:iCs/>
        </w:rPr>
        <w:t>correspondiente</w:t>
      </w:r>
      <w:r w:rsidRPr="007B1A21">
        <w:rPr>
          <w:i/>
          <w:iCs/>
        </w:rPr>
        <w:t xml:space="preserve"> </w:t>
      </w:r>
      <w:r w:rsidRPr="007B1A21">
        <w:rPr>
          <w:rFonts w:hint="eastAsia"/>
          <w:i/>
          <w:iCs/>
        </w:rPr>
        <w:t>a</w:t>
      </w:r>
      <w:r w:rsidRPr="007B1A21">
        <w:rPr>
          <w:i/>
          <w:iCs/>
        </w:rPr>
        <w:t xml:space="preserve"> </w:t>
      </w:r>
      <w:r w:rsidRPr="007B1A21">
        <w:rPr>
          <w:rFonts w:hint="eastAsia"/>
          <w:i/>
          <w:iCs/>
        </w:rPr>
        <w:t>algo.</w:t>
      </w:r>
      <w:r w:rsidRPr="007B1A21">
        <w:rPr>
          <w:i/>
          <w:iCs/>
        </w:rPr>
        <w:t xml:space="preserve"> 2. </w:t>
      </w:r>
      <w:r w:rsidRPr="007B1A21">
        <w:rPr>
          <w:rFonts w:hint="eastAsia"/>
          <w:i/>
          <w:iCs/>
        </w:rPr>
        <w:t>adj.</w:t>
      </w:r>
      <w:r w:rsidRPr="007B1A21">
        <w:rPr>
          <w:i/>
          <w:iCs/>
        </w:rPr>
        <w:t xml:space="preserve"> </w:t>
      </w:r>
      <w:r w:rsidRPr="007B1A21">
        <w:rPr>
          <w:rFonts w:hint="eastAsia"/>
          <w:i/>
          <w:iCs/>
        </w:rPr>
        <w:t>Que</w:t>
      </w:r>
      <w:r w:rsidRPr="007B1A21">
        <w:rPr>
          <w:i/>
          <w:iCs/>
        </w:rPr>
        <w:t xml:space="preserve"> </w:t>
      </w:r>
      <w:r w:rsidRPr="007B1A21">
        <w:rPr>
          <w:rFonts w:hint="eastAsia"/>
          <w:i/>
          <w:iCs/>
        </w:rPr>
        <w:t>viene</w:t>
      </w:r>
      <w:r w:rsidRPr="007B1A21">
        <w:rPr>
          <w:i/>
          <w:iCs/>
        </w:rPr>
        <w:t xml:space="preserve"> </w:t>
      </w:r>
      <w:r w:rsidRPr="007B1A21">
        <w:rPr>
          <w:rFonts w:hint="eastAsia"/>
          <w:i/>
          <w:iCs/>
        </w:rPr>
        <w:t>a</w:t>
      </w:r>
      <w:r w:rsidRPr="007B1A21">
        <w:rPr>
          <w:i/>
          <w:iCs/>
        </w:rPr>
        <w:t xml:space="preserve"> </w:t>
      </w:r>
      <w:r w:rsidRPr="007B1A21">
        <w:rPr>
          <w:rFonts w:hint="eastAsia"/>
          <w:i/>
          <w:iCs/>
        </w:rPr>
        <w:t>propósito.</w:t>
      </w:r>
      <w:r w:rsidRPr="007B1A21">
        <w:rPr>
          <w:i/>
          <w:iCs/>
        </w:rPr>
        <w:t xml:space="preserve"> y 3. </w:t>
      </w:r>
      <w:r w:rsidRPr="007B1A21">
        <w:rPr>
          <w:rFonts w:hint="eastAsia"/>
          <w:i/>
          <w:iCs/>
        </w:rPr>
        <w:t>adj.</w:t>
      </w:r>
      <w:r w:rsidRPr="007B1A21">
        <w:rPr>
          <w:i/>
          <w:iCs/>
        </w:rPr>
        <w:t xml:space="preserve"> </w:t>
      </w:r>
      <w:r w:rsidRPr="007B1A21">
        <w:rPr>
          <w:rFonts w:hint="eastAsia"/>
          <w:i/>
          <w:iCs/>
        </w:rPr>
        <w:t>Der.</w:t>
      </w:r>
      <w:r w:rsidRPr="007B1A21">
        <w:rPr>
          <w:i/>
          <w:iCs/>
        </w:rPr>
        <w:t xml:space="preserve"> </w:t>
      </w:r>
      <w:r w:rsidRPr="007B1A21">
        <w:rPr>
          <w:rFonts w:hint="eastAsia"/>
          <w:i/>
          <w:iCs/>
        </w:rPr>
        <w:t>Conducente</w:t>
      </w:r>
      <w:r w:rsidRPr="007B1A21">
        <w:rPr>
          <w:i/>
          <w:iCs/>
        </w:rPr>
        <w:t xml:space="preserve"> </w:t>
      </w:r>
      <w:r w:rsidRPr="007B1A21">
        <w:rPr>
          <w:rFonts w:hint="eastAsia"/>
          <w:i/>
          <w:iCs/>
        </w:rPr>
        <w:t>o</w:t>
      </w:r>
      <w:r w:rsidRPr="007B1A21">
        <w:rPr>
          <w:i/>
          <w:iCs/>
        </w:rPr>
        <w:t xml:space="preserve"> </w:t>
      </w:r>
      <w:r w:rsidRPr="007B1A21">
        <w:rPr>
          <w:rFonts w:hint="eastAsia"/>
          <w:i/>
          <w:iCs/>
        </w:rPr>
        <w:t>concerniente</w:t>
      </w:r>
      <w:r w:rsidRPr="007B1A21">
        <w:rPr>
          <w:i/>
          <w:iCs/>
        </w:rPr>
        <w:t xml:space="preserve"> </w:t>
      </w:r>
      <w:r w:rsidRPr="007B1A21">
        <w:rPr>
          <w:rFonts w:hint="eastAsia"/>
          <w:i/>
          <w:iCs/>
        </w:rPr>
        <w:t>al</w:t>
      </w:r>
      <w:r w:rsidRPr="007B1A21">
        <w:rPr>
          <w:i/>
          <w:iCs/>
        </w:rPr>
        <w:t xml:space="preserve"> </w:t>
      </w:r>
      <w:r w:rsidRPr="007B1A21">
        <w:rPr>
          <w:rFonts w:hint="eastAsia"/>
          <w:i/>
          <w:iCs/>
        </w:rPr>
        <w:t>pleito</w:t>
      </w:r>
      <w:r w:rsidRPr="007B1A21">
        <w:rPr>
          <w:rFonts w:hint="eastAsia"/>
        </w:rPr>
        <w:t>.</w:t>
      </w:r>
      <w:r w:rsidRPr="007B1A21">
        <w:t xml:space="preserve">”. Es por esto </w:t>
      </w:r>
      <w:r w:rsidR="00845C62" w:rsidRPr="007B1A21">
        <w:t>por lo que</w:t>
      </w:r>
      <w:r w:rsidRPr="007B1A21">
        <w:t xml:space="preserve"> la expresión “relevancia” debe entenderse como “pertinencia”. Otra </w:t>
      </w:r>
      <w:r w:rsidRPr="007B1A21">
        <w:t>expresión con la que se debe tener cuidado, por ejemplo, es la de “shares”, que en todos los casos fue traducida al español como “acciones”.</w:t>
      </w:r>
    </w:p>
    <w:tbl>
      <w:tblPr>
        <w:tblStyle w:val="Tablaconcuadrcula"/>
        <w:tblW w:w="4390" w:type="dxa"/>
        <w:tblLayout w:type="fixed"/>
        <w:tblLook w:val="0620" w:firstRow="1" w:lastRow="0" w:firstColumn="0" w:lastColumn="0" w:noHBand="1" w:noVBand="1"/>
      </w:tblPr>
      <w:tblGrid>
        <w:gridCol w:w="1271"/>
        <w:gridCol w:w="1418"/>
        <w:gridCol w:w="1701"/>
      </w:tblGrid>
      <w:tr w:rsidR="007B1A21" w:rsidRPr="007B1A21" w14:paraId="182AA116" w14:textId="77777777" w:rsidTr="00C133A1">
        <w:tc>
          <w:tcPr>
            <w:tcW w:w="2689" w:type="dxa"/>
            <w:gridSpan w:val="2"/>
          </w:tcPr>
          <w:p w14:paraId="5F4E1BFA" w14:textId="77777777" w:rsidR="007B1A21" w:rsidRPr="007B1A21" w:rsidRDefault="007B1A21" w:rsidP="009D3325">
            <w:pPr>
              <w:spacing w:line="240" w:lineRule="auto"/>
              <w:rPr>
                <w:b/>
                <w:bCs/>
                <w:sz w:val="16"/>
                <w:szCs w:val="16"/>
                <w:lang w:val="en-US"/>
              </w:rPr>
            </w:pPr>
            <w:r w:rsidRPr="007B1A21">
              <w:rPr>
                <w:b/>
                <w:bCs/>
                <w:sz w:val="16"/>
                <w:szCs w:val="16"/>
                <w:lang w:val="en-US"/>
              </w:rPr>
              <w:t>www.lexico.com/en: Share</w:t>
            </w:r>
          </w:p>
        </w:tc>
        <w:tc>
          <w:tcPr>
            <w:tcW w:w="1701" w:type="dxa"/>
            <w:vMerge w:val="restart"/>
            <w:vAlign w:val="center"/>
          </w:tcPr>
          <w:p w14:paraId="529423B4" w14:textId="77777777" w:rsidR="007B1A21" w:rsidRPr="007B1A21" w:rsidRDefault="007B1A21" w:rsidP="009D3325">
            <w:pPr>
              <w:spacing w:line="240" w:lineRule="auto"/>
              <w:rPr>
                <w:b/>
                <w:bCs/>
                <w:sz w:val="16"/>
                <w:szCs w:val="16"/>
              </w:rPr>
            </w:pPr>
            <w:r w:rsidRPr="007B1A21">
              <w:rPr>
                <w:b/>
                <w:bCs/>
                <w:sz w:val="16"/>
                <w:szCs w:val="16"/>
              </w:rPr>
              <w:t>www.rae.es: Acciones</w:t>
            </w:r>
          </w:p>
        </w:tc>
      </w:tr>
      <w:tr w:rsidR="007B1A21" w:rsidRPr="007B1A21" w14:paraId="4B2D7D69" w14:textId="77777777" w:rsidTr="00C133A1">
        <w:tc>
          <w:tcPr>
            <w:tcW w:w="1271" w:type="dxa"/>
          </w:tcPr>
          <w:p w14:paraId="367283A9" w14:textId="77777777" w:rsidR="007B1A21" w:rsidRPr="007B1A21" w:rsidRDefault="007B1A21" w:rsidP="007B1A21">
            <w:pPr>
              <w:rPr>
                <w:b/>
                <w:bCs/>
                <w:sz w:val="16"/>
                <w:szCs w:val="16"/>
              </w:rPr>
            </w:pPr>
            <w:r w:rsidRPr="007B1A21">
              <w:rPr>
                <w:b/>
                <w:bCs/>
                <w:sz w:val="16"/>
                <w:szCs w:val="16"/>
              </w:rPr>
              <w:t>Definición en inglés</w:t>
            </w:r>
          </w:p>
        </w:tc>
        <w:tc>
          <w:tcPr>
            <w:tcW w:w="1418" w:type="dxa"/>
          </w:tcPr>
          <w:p w14:paraId="6231CCD9" w14:textId="77777777" w:rsidR="007B1A21" w:rsidRPr="007B1A21" w:rsidRDefault="007B1A21" w:rsidP="009D3325">
            <w:pPr>
              <w:spacing w:line="240" w:lineRule="auto"/>
              <w:rPr>
                <w:b/>
                <w:bCs/>
                <w:sz w:val="16"/>
                <w:szCs w:val="16"/>
              </w:rPr>
            </w:pPr>
            <w:r w:rsidRPr="007B1A21">
              <w:rPr>
                <w:b/>
                <w:bCs/>
                <w:sz w:val="16"/>
                <w:szCs w:val="16"/>
              </w:rPr>
              <w:t>Traducción libre al español</w:t>
            </w:r>
          </w:p>
        </w:tc>
        <w:tc>
          <w:tcPr>
            <w:tcW w:w="1701" w:type="dxa"/>
            <w:vMerge/>
          </w:tcPr>
          <w:p w14:paraId="2B8C9499" w14:textId="77777777" w:rsidR="007B1A21" w:rsidRPr="007B1A21" w:rsidRDefault="007B1A21" w:rsidP="007B1A21">
            <w:pPr>
              <w:rPr>
                <w:b/>
                <w:bCs/>
                <w:sz w:val="16"/>
                <w:szCs w:val="16"/>
              </w:rPr>
            </w:pPr>
          </w:p>
        </w:tc>
      </w:tr>
      <w:tr w:rsidR="007B1A21" w:rsidRPr="007B1A21" w14:paraId="3F9E43DE" w14:textId="77777777" w:rsidTr="00C133A1">
        <w:tc>
          <w:tcPr>
            <w:tcW w:w="1271" w:type="dxa"/>
            <w:vAlign w:val="center"/>
          </w:tcPr>
          <w:p w14:paraId="2B30F817" w14:textId="77777777" w:rsidR="007B1A21" w:rsidRPr="007B1A21" w:rsidRDefault="007B1A21" w:rsidP="009D3325">
            <w:pPr>
              <w:spacing w:line="240" w:lineRule="auto"/>
              <w:rPr>
                <w:sz w:val="16"/>
                <w:szCs w:val="16"/>
                <w:lang w:val="en-US"/>
              </w:rPr>
            </w:pPr>
            <w:r w:rsidRPr="007B1A21">
              <w:rPr>
                <w:sz w:val="16"/>
                <w:szCs w:val="16"/>
                <w:lang w:val="en-US"/>
              </w:rPr>
              <w:t>2. One of the equal parts into which a company's capital is divided, entitling the holder to a proportion of the profits.</w:t>
            </w:r>
          </w:p>
        </w:tc>
        <w:tc>
          <w:tcPr>
            <w:tcW w:w="1418" w:type="dxa"/>
            <w:vAlign w:val="center"/>
          </w:tcPr>
          <w:p w14:paraId="10AA671F" w14:textId="77777777" w:rsidR="007B1A21" w:rsidRPr="007B1A21" w:rsidRDefault="007B1A21" w:rsidP="009D3325">
            <w:pPr>
              <w:spacing w:line="240" w:lineRule="auto"/>
              <w:rPr>
                <w:sz w:val="16"/>
                <w:szCs w:val="16"/>
              </w:rPr>
            </w:pPr>
            <w:r w:rsidRPr="007B1A21">
              <w:rPr>
                <w:sz w:val="16"/>
                <w:szCs w:val="16"/>
              </w:rPr>
              <w:t>Una de las partes iguales en las que se divide el capital de una empresa, lo que da derecho al titular a una proporción de las ganancias.</w:t>
            </w:r>
          </w:p>
        </w:tc>
        <w:tc>
          <w:tcPr>
            <w:tcW w:w="1701" w:type="dxa"/>
            <w:vAlign w:val="center"/>
          </w:tcPr>
          <w:p w14:paraId="7442BECA" w14:textId="08E72019" w:rsidR="007B1A21" w:rsidRPr="007B1A21" w:rsidRDefault="007B1A21" w:rsidP="009D3325">
            <w:pPr>
              <w:spacing w:line="240" w:lineRule="auto"/>
              <w:rPr>
                <w:sz w:val="16"/>
                <w:szCs w:val="16"/>
              </w:rPr>
            </w:pPr>
            <w:r w:rsidRPr="007B1A21">
              <w:rPr>
                <w:rFonts w:hint="eastAsia"/>
                <w:sz w:val="16"/>
                <w:szCs w:val="16"/>
              </w:rPr>
              <w:t>9.</w:t>
            </w:r>
            <w:r w:rsidRPr="007B1A21">
              <w:rPr>
                <w:sz w:val="16"/>
                <w:szCs w:val="16"/>
              </w:rPr>
              <w:t xml:space="preserve"> Título valor que representa una parte alícuota en el capital de una sociedad mercantil y que da derecho a una parte proporcional en el reparto</w:t>
            </w:r>
            <w:r w:rsidR="00845C62" w:rsidRPr="0013566E">
              <w:rPr>
                <w:sz w:val="16"/>
                <w:szCs w:val="16"/>
              </w:rPr>
              <w:t xml:space="preserve"> </w:t>
            </w:r>
            <w:r w:rsidRPr="007B1A21">
              <w:rPr>
                <w:sz w:val="16"/>
                <w:szCs w:val="16"/>
              </w:rPr>
              <w:t>de beneficios y a la cuota patrimonial correspondiente en la disolución de la sociedad</w:t>
            </w:r>
            <w:r w:rsidRPr="007B1A21">
              <w:rPr>
                <w:rFonts w:hint="eastAsia"/>
                <w:sz w:val="16"/>
                <w:szCs w:val="16"/>
              </w:rPr>
              <w:t>.</w:t>
            </w:r>
          </w:p>
        </w:tc>
      </w:tr>
    </w:tbl>
    <w:p w14:paraId="403FA0A5" w14:textId="04BE7DCB" w:rsidR="007B1A21" w:rsidRPr="007B1A21" w:rsidRDefault="007B1A21" w:rsidP="007B1A21">
      <w:r w:rsidRPr="007B1A21">
        <w:t>En la definición en los dos idiomas, la “acción”, en sentido lato, es una parte alícuota del capital de una sociedad mercantil, pero que en el caso colombiano puede confundirse con las “acciones” de las sociedades que emiten acciones (S.A., S.A.S. y S.C.A.), con lo que podría entenderse que sólo estos apartes, tales como la sección de “</w:t>
      </w:r>
      <w:r w:rsidRPr="007B1A21">
        <w:rPr>
          <w:i/>
          <w:iCs/>
        </w:rPr>
        <w:t>Pagos basados en acciones</w:t>
      </w:r>
      <w:r w:rsidRPr="007B1A21">
        <w:t>”, sólo aplica a este tipo de entes societarios. Esto, por supuesto no es así, ya que le debe aplicar a todo tipo de entes que hagan pagos con sus instrumentos de patrimonio.</w:t>
      </w:r>
      <w:r w:rsidR="0013566E">
        <w:t xml:space="preserve"> </w:t>
      </w:r>
      <w:r w:rsidRPr="007B1A21">
        <w:t xml:space="preserve">Citando estos dos ejemplos, es pertinente advertir </w:t>
      </w:r>
      <w:r w:rsidR="00845C62" w:rsidRPr="007B1A21">
        <w:t>que,</w:t>
      </w:r>
      <w:r w:rsidRPr="007B1A21">
        <w:t xml:space="preserve"> para un mejor entendimiento y aplicación de esta normatividad, que tiene su origen en el idioma inglés, es nuestro deber tener cuidado sobre el real sentido de las acepciones del idioma original.</w:t>
      </w:r>
    </w:p>
    <w:p w14:paraId="2E5C13AA" w14:textId="06E3DEFF" w:rsidR="00A55500" w:rsidRPr="007B1A21" w:rsidRDefault="007B1A21" w:rsidP="00845C62">
      <w:pPr>
        <w:jc w:val="right"/>
      </w:pPr>
      <w:r w:rsidRPr="007B1A21">
        <w:rPr>
          <w:i/>
        </w:rPr>
        <w:t>Luis Humberto Ramírez Barrios</w:t>
      </w:r>
    </w:p>
    <w:sectPr w:rsidR="00A55500" w:rsidRPr="007B1A2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097D0" w14:textId="77777777" w:rsidR="008E31E4" w:rsidRDefault="008E31E4" w:rsidP="00EE7812">
      <w:pPr>
        <w:spacing w:after="0" w:line="240" w:lineRule="auto"/>
      </w:pPr>
      <w:r>
        <w:separator/>
      </w:r>
    </w:p>
  </w:endnote>
  <w:endnote w:type="continuationSeparator" w:id="0">
    <w:p w14:paraId="7C9065E3" w14:textId="77777777" w:rsidR="008E31E4" w:rsidRDefault="008E31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36C06" w14:textId="77777777" w:rsidR="008E31E4" w:rsidRDefault="008E31E4" w:rsidP="00EE7812">
      <w:pPr>
        <w:spacing w:after="0" w:line="240" w:lineRule="auto"/>
      </w:pPr>
      <w:r>
        <w:separator/>
      </w:r>
    </w:p>
  </w:footnote>
  <w:footnote w:type="continuationSeparator" w:id="0">
    <w:p w14:paraId="356B1851" w14:textId="77777777" w:rsidR="008E31E4" w:rsidRDefault="008E31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B4D5B0" w:rsidR="00F23D44" w:rsidRDefault="00662F02" w:rsidP="00613BC8">
    <w:pPr>
      <w:pStyle w:val="Encabezado"/>
      <w:tabs>
        <w:tab w:val="left" w:pos="2580"/>
        <w:tab w:val="left" w:pos="2985"/>
      </w:tabs>
      <w:spacing w:line="276" w:lineRule="auto"/>
      <w:jc w:val="right"/>
    </w:pPr>
    <w:r>
      <w:t xml:space="preserve">Número </w:t>
    </w:r>
    <w:r w:rsidR="00E86306">
      <w:t>45</w:t>
    </w:r>
    <w:r w:rsidR="00BF47A0">
      <w:t>8</w:t>
    </w:r>
    <w:r w:rsidR="007B1A21">
      <w:t>7</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8E31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DC3"/>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1E4"/>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styleId="Mencinsinresolver">
    <w:name w:val="Unresolved Mention"/>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7675A-9E66-4020-8CD4-D0AB79E3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2019-09-08T19:26:00Z</dcterms:created>
  <dcterms:modified xsi:type="dcterms:W3CDTF">2019-09-08T19:26:00Z</dcterms:modified>
</cp:coreProperties>
</file>