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0A84" w14:textId="6C321A23" w:rsidR="00FD07E8" w:rsidRPr="00FD07E8" w:rsidRDefault="00FD07E8" w:rsidP="00FD07E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D07E8">
        <w:rPr>
          <w:position w:val="-9"/>
          <w:sz w:val="123"/>
        </w:rPr>
        <w:t>E</w:t>
      </w:r>
    </w:p>
    <w:p w14:paraId="6944C20F" w14:textId="6BA10CF4" w:rsidR="00FD07E8" w:rsidRDefault="00FD07E8" w:rsidP="00F00D9E">
      <w:r>
        <w:t xml:space="preserve">l referente </w:t>
      </w:r>
      <w:r w:rsidR="00F00D9E">
        <w:t>t</w:t>
      </w:r>
      <w:r>
        <w:t xml:space="preserve">eórico y </w:t>
      </w:r>
      <w:r w:rsidR="00F00D9E">
        <w:t>m</w:t>
      </w:r>
      <w:r>
        <w:t>etodológico de la Regulación Contable Pública, documento expedido por la Contaduría General de la Nación</w:t>
      </w:r>
      <w:r w:rsidR="00F00D9E">
        <w:t>,</w:t>
      </w:r>
      <w:r>
        <w:t xml:space="preserve"> que sirve de soporte para definir el alcance del Régimen de Contabilidad Pública (RCP) y su desarrollo como instrumento de normalización y regulación, bajo un enfoque lógico deductivo, incorpora elementos conceptuales centrales como el referido al Sistema Nacional de Contabilidad Pública </w:t>
      </w:r>
      <w:r w:rsidR="00F00D9E">
        <w:t>–</w:t>
      </w:r>
      <w:r>
        <w:t xml:space="preserve"> SNCP</w:t>
      </w:r>
      <w:r w:rsidR="00F00D9E">
        <w:t xml:space="preserve">, </w:t>
      </w:r>
      <w:r>
        <w:t xml:space="preserve">El SNCP genera información contable necesaria para la toma de decisiones, para el ejercicio del control interno y externo de la administración pública y para la rendición de cuentas. Esta información puede clasificarse en financiera y no financiera, la primera puede ser de propósito general o de propósito especial. La de propósito general pretende cubrir necesidades de información de usuarios que no están en condiciones de exigir informes a la medida de sus necesidades específicas de información, lo cual se cumple a través de los estados financieros. Por su parte, la de propósito especial se prepara para satisfacer necesidades particulares de ciertos usuarios que están en la capacidad de exigir información a la medida de sus necesidades. La información no financiera aborda aspectos económicos, sociales y ambientales para verificar el cumplimiento de diversos objetivos y se enfoca especialmente en evaluar la eficacia, eficiencia, economía, equidad y ecología de las actividades de la entidad, por ejemplo: los efectos favorables y desfavorables causados por actividades de la entidad en la sociedad, así como en la regeneración, deterioro y agotamientos de </w:t>
      </w:r>
      <w:r>
        <w:t>recursos medioambientales. Esta información será producto de la contabilidad social y ambiental. (CGN, 2015)</w:t>
      </w:r>
      <w:r w:rsidR="00F00D9E">
        <w:t xml:space="preserve">. </w:t>
      </w:r>
      <w:r>
        <w:t>Para que el SNCP provea información financiera de propósito general se definieron los marcos normativos para su preparación y presentación, de acuerdo con el tipo de entidad y su situación: entidades de gobierno, empresas estatales y entidades en liquidación. Para la información no financiera señala el documento que acorde con los desarrollos internacionales y las necesidades de información de los usuarios de la contabilidad pública, se incorporará en el RCP marcos normativos para la preparación de este tipo de información, referida a aspectos sociales y ambientales, buscando obtener a futuro un reporte integrado de información. Por lo anterior, la CGN ha previsto inicialmente fortalecer la contabilidad financiera de las entidades, para que, a partir de esta, se puedan generar nuevos estados de representación.</w:t>
      </w:r>
      <w:r w:rsidR="00F00D9E">
        <w:t xml:space="preserve"> </w:t>
      </w:r>
      <w:r>
        <w:t xml:space="preserve">¿Por qué no se avanza? ¿Qué hace falta? Seguramente más apoyo del gobierno para impulsar y articular esto como un proyecto estratégico en el camino de la transparencia y en lucha contra la corrupción, o ¿falta visión en la CGN para proponerlo como tal? o </w:t>
      </w:r>
      <w:r w:rsidR="008E7637">
        <w:t>¿</w:t>
      </w:r>
      <w:r>
        <w:t xml:space="preserve">falta investigación e investigadores? La CGN debería aliarse con las universidades para convenir investigaciones sobre el tema, diseñar estrategias con estas instituciones para que aporten su conocimiento y experiencia. Pensar que sola la CGN con su actual infraestructura limitada pueda hacerlo, es retrasar considerablemente este buen propósito. Hacia allá es el camino… </w:t>
      </w:r>
    </w:p>
    <w:p w14:paraId="29D354BF" w14:textId="1C7AE3B4" w:rsidR="00887FBE" w:rsidRPr="008E7637" w:rsidRDefault="00FD07E8" w:rsidP="008E7637">
      <w:pPr>
        <w:jc w:val="right"/>
        <w:rPr>
          <w:i/>
          <w:iCs/>
        </w:rPr>
      </w:pPr>
      <w:r w:rsidRPr="008E7637">
        <w:rPr>
          <w:i/>
          <w:iCs/>
        </w:rPr>
        <w:t>Iván Jesús Castillo Caicedo</w:t>
      </w:r>
    </w:p>
    <w:sectPr w:rsidR="00887FBE" w:rsidRPr="008E7637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CA0B" w14:textId="77777777" w:rsidR="009E337A" w:rsidRDefault="009E337A" w:rsidP="00EE7812">
      <w:pPr>
        <w:spacing w:after="0" w:line="240" w:lineRule="auto"/>
      </w:pPr>
      <w:r>
        <w:separator/>
      </w:r>
    </w:p>
  </w:endnote>
  <w:endnote w:type="continuationSeparator" w:id="0">
    <w:p w14:paraId="538C3AAF" w14:textId="77777777" w:rsidR="009E337A" w:rsidRDefault="009E337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AFC35" w14:textId="77777777" w:rsidR="009E337A" w:rsidRDefault="009E337A" w:rsidP="00EE7812">
      <w:pPr>
        <w:spacing w:after="0" w:line="240" w:lineRule="auto"/>
      </w:pPr>
      <w:r>
        <w:separator/>
      </w:r>
    </w:p>
  </w:footnote>
  <w:footnote w:type="continuationSeparator" w:id="0">
    <w:p w14:paraId="60287F88" w14:textId="77777777" w:rsidR="009E337A" w:rsidRDefault="009E337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671AB81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0E338F">
      <w:t>1</w:t>
    </w:r>
    <w:r w:rsidR="00FD07E8">
      <w:t>8</w:t>
    </w:r>
    <w:r w:rsidR="00F23D44">
      <w:t xml:space="preserve">, </w:t>
    </w:r>
    <w:r w:rsidR="001D10CF">
      <w:t>30</w:t>
    </w:r>
    <w:r w:rsidR="00E13666">
      <w:t xml:space="preserve"> de </w:t>
    </w:r>
    <w:r w:rsidR="006156DE">
      <w:t>septiembre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9E337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A55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7A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0F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688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4A28F-AACB-4530-ABE0-A1AB3CE5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2019-09-29T00:05:00Z</dcterms:created>
  <dcterms:modified xsi:type="dcterms:W3CDTF">2019-09-29T00:05:00Z</dcterms:modified>
</cp:coreProperties>
</file>