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D3CD9" w14:textId="5F85812E" w:rsidR="00B617FD" w:rsidRPr="00B617FD" w:rsidRDefault="00B617FD" w:rsidP="00B617F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B617FD">
        <w:rPr>
          <w:position w:val="-8"/>
          <w:sz w:val="123"/>
        </w:rPr>
        <w:t>R</w:t>
      </w:r>
    </w:p>
    <w:p w14:paraId="5B9C4C75" w14:textId="3C422772" w:rsidR="00D36141" w:rsidRDefault="00B617FD" w:rsidP="00B617FD">
      <w:r>
        <w:t xml:space="preserve">evisando las </w:t>
      </w:r>
      <w:hyperlink r:id="rId8" w:history="1">
        <w:r w:rsidRPr="00EC752C">
          <w:rPr>
            <w:rStyle w:val="Hipervnculo"/>
          </w:rPr>
          <w:t>recientes orientaciones del Consejo Técnico de la Contaduría Pública sobre los informes de los revisores fiscales</w:t>
        </w:r>
      </w:hyperlink>
      <w:r>
        <w:t xml:space="preserve"> hemos observado que en muchas partes se trata de una reproducción de los estándares aplicables en Colombia por virtud de su incorporación al Derecho Contable colombiano. A nosotros nos parece más claro el sistema de usar diferencias tipográficas para distinguir lo que proviene de los estándare</w:t>
      </w:r>
      <w:r w:rsidR="00EC752C">
        <w:t>s de lo que aporta la autoridad, como lo hemos resaltado con base en nuestro estudio de las reglas aplicables en otros países más desarrollados que el nuestro.</w:t>
      </w:r>
    </w:p>
    <w:p w14:paraId="3B0E336A" w14:textId="22B0E961" w:rsidR="00B617FD" w:rsidRDefault="00EC752C" w:rsidP="00B617FD">
      <w:r>
        <w:t>Los párrafos 37 y 38 de la ISA 700 no pueden fusionarse como se hace en la orientación en comento.</w:t>
      </w:r>
    </w:p>
    <w:p w14:paraId="77F5ECCD" w14:textId="2583B6F7" w:rsidR="00EC752C" w:rsidRDefault="00EC752C" w:rsidP="00EC752C">
      <w:r>
        <w:t xml:space="preserve">En el párrafo 37 citado se lee: “(…) </w:t>
      </w:r>
      <w:r w:rsidRPr="00EC752C">
        <w:rPr>
          <w:i/>
        </w:rPr>
        <w:t>(c) manifestará que las incorrecciones pueden deberse a fraude o error y alternativamente: ―(i) describirá que se consideran materiales si, individualmente o de forma agregada, puede preverse razonablemente que influyan en las decisiones económicas que los usuarios toman basándose en esos estados financieros; o (</w:t>
      </w:r>
      <w:r w:rsidRPr="00EC752C">
        <w:rPr>
          <w:i/>
          <w:vertAlign w:val="superscript"/>
        </w:rPr>
        <w:t>14</w:t>
      </w:r>
      <w:r w:rsidRPr="00EC752C">
        <w:rPr>
          <w:i/>
        </w:rPr>
        <w:t>) ―(ii) proporcionará una definición o descripción de la importancia relativa de conformidad con el marco de información financiera aplicable (Ref.: Apartado A47).</w:t>
      </w:r>
      <w:r>
        <w:t>”.</w:t>
      </w:r>
    </w:p>
    <w:p w14:paraId="490EE7CA" w14:textId="0F59D2E0" w:rsidR="00EC752C" w:rsidRDefault="00360CDF" w:rsidP="00EC752C">
      <w:r>
        <w:t xml:space="preserve">La mayoría de las veces los informes se limitan a incluir el concepto de lo material, importante o significativo. Sin embargo, mejor sería que se diera a conocer a la comunidad la determinación concreta que de ello se haya hecho en el respectivo trabajo. </w:t>
      </w:r>
      <w:r>
        <w:t xml:space="preserve">Esto seguramente no estará en el ánimo de muchos que saben aplicar unas </w:t>
      </w:r>
      <w:r w:rsidR="005E4E1E">
        <w:t>fórmulas,</w:t>
      </w:r>
      <w:r>
        <w:t xml:space="preserve"> pero no saben explicarlas ni tienen elementos para establecer si los resultados son adecuados para el caso concreto.</w:t>
      </w:r>
    </w:p>
    <w:p w14:paraId="03FB89C2" w14:textId="4E384434" w:rsidR="005E4E1E" w:rsidRDefault="005E4E1E" w:rsidP="00EC752C">
      <w:r>
        <w:t>Es cuestión de sentido común que hay muchas cosas que no tienen importancia a la hora de evaluar el estado de una compañía. Por ello es necesario saber cuáles son para no aturdir a los usuarios con defectos que no merecen atención.</w:t>
      </w:r>
    </w:p>
    <w:p w14:paraId="5F9D6684" w14:textId="2EA766D3" w:rsidR="005E4E1E" w:rsidRDefault="005E4E1E" w:rsidP="00EC752C">
      <w:r>
        <w:t>La materialidad no es una cuestión meramente cuantitativa ni tampoco un asunto que discrecionalmente deba resolver el profesional de la contabilidad. Ella debe corresponder a la realidad de las reacciones que se causarían en los destinatarios de los informes. Los destinatarios no son los mismos en todos los lugares del mundo.</w:t>
      </w:r>
    </w:p>
    <w:p w14:paraId="67206B84" w14:textId="1934935D" w:rsidR="005E4E1E" w:rsidRDefault="00144515" w:rsidP="00EC752C">
      <w:r>
        <w:t>Como se recordará, se usa la materialidad a la hora de preparar la información financiera y cuando se hace una auditoría. Son dos medidas distintas. El auditor debe analizar si es adecuada la materialidad definida por los preparadores y debe verificar si ella efectivamente se ha aplicado.</w:t>
      </w:r>
    </w:p>
    <w:p w14:paraId="1106149B" w14:textId="0B865759" w:rsidR="00144515" w:rsidRDefault="008E4AEB" w:rsidP="00EC752C">
      <w:bookmarkStart w:id="0" w:name="_GoBack"/>
      <w:r>
        <w:t>En nuestro país muchas infracciones se constituyen en todo caso, sin importar la materialidad de los respectivos asuntos</w:t>
      </w:r>
      <w:bookmarkEnd w:id="0"/>
      <w:r>
        <w:t>. De esto se han aprovechado las autoridades para evitar establecer si los juicios de materialidad fueron correctos y castigar en toda situación. Hace falta mucha más capacitación de la profesión hacia las autoridades.</w:t>
      </w:r>
    </w:p>
    <w:p w14:paraId="3BD1AEC6" w14:textId="327508C5" w:rsidR="008E4AEB" w:rsidRPr="008E4AEB" w:rsidRDefault="008E4AEB" w:rsidP="008E4AEB">
      <w:pPr>
        <w:jc w:val="right"/>
        <w:rPr>
          <w:i/>
        </w:rPr>
      </w:pPr>
      <w:r w:rsidRPr="008E4AEB">
        <w:rPr>
          <w:i/>
        </w:rPr>
        <w:t>Hernando Bermúdez Gómez</w:t>
      </w:r>
    </w:p>
    <w:sectPr w:rsidR="008E4AEB" w:rsidRPr="008E4AEB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931C4" w14:textId="77777777" w:rsidR="00980CAB" w:rsidRDefault="00980CAB" w:rsidP="00EE7812">
      <w:pPr>
        <w:spacing w:after="0" w:line="240" w:lineRule="auto"/>
      </w:pPr>
      <w:r>
        <w:separator/>
      </w:r>
    </w:p>
  </w:endnote>
  <w:endnote w:type="continuationSeparator" w:id="0">
    <w:p w14:paraId="356F1D10" w14:textId="77777777" w:rsidR="00980CAB" w:rsidRDefault="00980CA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52E36" w14:textId="77777777" w:rsidR="00980CAB" w:rsidRDefault="00980CAB" w:rsidP="00EE7812">
      <w:pPr>
        <w:spacing w:after="0" w:line="240" w:lineRule="auto"/>
      </w:pPr>
      <w:r>
        <w:separator/>
      </w:r>
    </w:p>
  </w:footnote>
  <w:footnote w:type="continuationSeparator" w:id="0">
    <w:p w14:paraId="10BF53EC" w14:textId="77777777" w:rsidR="00980CAB" w:rsidRDefault="00980CA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27A7FA0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4D4BD7">
      <w:t>2</w:t>
    </w:r>
    <w:r w:rsidR="00B617FD">
      <w:t>5</w:t>
    </w:r>
    <w:r w:rsidR="00F23D44">
      <w:t xml:space="preserve">, </w:t>
    </w:r>
    <w:r w:rsidR="004D4BD7">
      <w:t>7</w:t>
    </w:r>
    <w:r w:rsidR="00E13666">
      <w:t xml:space="preserve"> de </w:t>
    </w:r>
    <w:r w:rsidR="004D4BD7">
      <w:t>octubre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980CA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A0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CAB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publicaciones-ctcp/orientaciones-tecnicas/orientacion-revisoria-fiscal-parte-i-agosto-1-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EE91-28F9-4120-96BE-953078A0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2019-10-06T17:03:00Z</dcterms:created>
  <dcterms:modified xsi:type="dcterms:W3CDTF">2019-10-06T17:03:00Z</dcterms:modified>
</cp:coreProperties>
</file>