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63" w:rsidRPr="000E0163" w:rsidRDefault="000E0163" w:rsidP="000E0163">
      <w:pPr>
        <w:keepNext/>
        <w:framePr w:dropCap="drop" w:lines="3" w:wrap="around" w:vAnchor="text" w:hAnchor="text"/>
        <w:spacing w:after="0" w:line="842" w:lineRule="exact"/>
        <w:jc w:val="both"/>
        <w:textAlignment w:val="baseline"/>
        <w:rPr>
          <w:rFonts w:cs="Calibri"/>
          <w:position w:val="-8"/>
          <w:sz w:val="112"/>
          <w:szCs w:val="20"/>
        </w:rPr>
      </w:pPr>
      <w:r w:rsidRPr="000E0163">
        <w:rPr>
          <w:rFonts w:cs="Calibri"/>
          <w:position w:val="-8"/>
          <w:sz w:val="112"/>
          <w:szCs w:val="20"/>
        </w:rPr>
        <w:t>E</w:t>
      </w:r>
    </w:p>
    <w:p w:rsidR="000E0163" w:rsidRPr="00EB1E41" w:rsidRDefault="000E0163" w:rsidP="000E0163">
      <w:pPr>
        <w:jc w:val="both"/>
        <w:rPr>
          <w:sz w:val="20"/>
          <w:szCs w:val="20"/>
        </w:rPr>
      </w:pPr>
      <w:r w:rsidRPr="00EB1E41">
        <w:rPr>
          <w:sz w:val="20"/>
          <w:szCs w:val="20"/>
        </w:rPr>
        <w:t xml:space="preserve">l decreto 4946, expedido el pasado 30 de diciembre por </w:t>
      </w:r>
      <w:r>
        <w:rPr>
          <w:sz w:val="20"/>
          <w:szCs w:val="20"/>
        </w:rPr>
        <w:t>la Presidencia de la República</w:t>
      </w:r>
      <w:r w:rsidRPr="00EB1E41">
        <w:rPr>
          <w:sz w:val="20"/>
          <w:szCs w:val="20"/>
        </w:rPr>
        <w:t>, establece una serie de directrices para la aplicación voluntaria de l</w:t>
      </w:r>
      <w:r>
        <w:rPr>
          <w:sz w:val="20"/>
          <w:szCs w:val="20"/>
        </w:rPr>
        <w:t xml:space="preserve">as </w:t>
      </w:r>
      <w:proofErr w:type="spellStart"/>
      <w:r>
        <w:rPr>
          <w:sz w:val="20"/>
          <w:szCs w:val="20"/>
        </w:rPr>
        <w:t>NIIF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IFRS</w:t>
      </w:r>
      <w:proofErr w:type="spellEnd"/>
      <w:r>
        <w:rPr>
          <w:sz w:val="20"/>
          <w:szCs w:val="20"/>
        </w:rPr>
        <w:t>)</w:t>
      </w:r>
      <w:r w:rsidRPr="00EB1E41">
        <w:rPr>
          <w:sz w:val="20"/>
          <w:szCs w:val="20"/>
        </w:rPr>
        <w:t>, en la preparación y presentación voluntaria de Estados Financieros de Propósito</w:t>
      </w:r>
      <w:r w:rsidR="00165667">
        <w:rPr>
          <w:sz w:val="20"/>
          <w:szCs w:val="20"/>
        </w:rPr>
        <w:t xml:space="preserve"> </w:t>
      </w:r>
      <w:r w:rsidRPr="00EB1E41">
        <w:rPr>
          <w:sz w:val="20"/>
          <w:szCs w:val="20"/>
        </w:rPr>
        <w:t>Especial</w:t>
      </w:r>
      <w:r>
        <w:rPr>
          <w:rStyle w:val="Refdenotaalpie"/>
          <w:sz w:val="20"/>
          <w:szCs w:val="20"/>
        </w:rPr>
        <w:footnoteReference w:id="1"/>
      </w:r>
      <w:r>
        <w:rPr>
          <w:sz w:val="20"/>
          <w:szCs w:val="20"/>
        </w:rPr>
        <w:t>.</w:t>
      </w:r>
      <w:r w:rsidRPr="00EB1E41">
        <w:rPr>
          <w:sz w:val="20"/>
          <w:szCs w:val="20"/>
        </w:rPr>
        <w:t xml:space="preserve"> </w:t>
      </w:r>
    </w:p>
    <w:p w:rsidR="000E0163" w:rsidRPr="00EB1E41" w:rsidRDefault="000E0163" w:rsidP="000E0163">
      <w:pPr>
        <w:jc w:val="both"/>
        <w:rPr>
          <w:sz w:val="20"/>
          <w:szCs w:val="20"/>
        </w:rPr>
      </w:pPr>
      <w:r w:rsidRPr="00EB1E41">
        <w:rPr>
          <w:sz w:val="20"/>
          <w:szCs w:val="20"/>
        </w:rPr>
        <w:t xml:space="preserve">Parece </w:t>
      </w:r>
      <w:r>
        <w:rPr>
          <w:sz w:val="20"/>
          <w:szCs w:val="20"/>
        </w:rPr>
        <w:t xml:space="preserve">contradictorio </w:t>
      </w:r>
      <w:r w:rsidRPr="00EB1E41">
        <w:rPr>
          <w:sz w:val="20"/>
          <w:szCs w:val="20"/>
        </w:rPr>
        <w:t xml:space="preserve">que las disposiciones contables colombianas ahora permitan la aplicación de las </w:t>
      </w:r>
      <w:proofErr w:type="spellStart"/>
      <w:r w:rsidRPr="00EB1E41">
        <w:rPr>
          <w:sz w:val="20"/>
          <w:szCs w:val="20"/>
        </w:rPr>
        <w:t>NIIF</w:t>
      </w:r>
      <w:proofErr w:type="spellEnd"/>
      <w:r w:rsidRPr="00EB1E41">
        <w:rPr>
          <w:sz w:val="20"/>
          <w:szCs w:val="20"/>
        </w:rPr>
        <w:t xml:space="preserve"> para la</w:t>
      </w:r>
      <w:r w:rsidR="00165667">
        <w:rPr>
          <w:sz w:val="20"/>
          <w:szCs w:val="20"/>
        </w:rPr>
        <w:t xml:space="preserve"> </w:t>
      </w:r>
      <w:r w:rsidRPr="00EB1E41">
        <w:rPr>
          <w:sz w:val="20"/>
          <w:szCs w:val="20"/>
        </w:rPr>
        <w:t>elaboración de Estados Financieros de propósito especial, cuando</w:t>
      </w:r>
      <w:r w:rsidR="00165667">
        <w:rPr>
          <w:sz w:val="20"/>
          <w:szCs w:val="20"/>
        </w:rPr>
        <w:t xml:space="preserve"> </w:t>
      </w:r>
      <w:r w:rsidRPr="00EB1E41">
        <w:rPr>
          <w:sz w:val="20"/>
          <w:szCs w:val="20"/>
        </w:rPr>
        <w:t xml:space="preserve">en las </w:t>
      </w:r>
      <w:proofErr w:type="spellStart"/>
      <w:r w:rsidRPr="00EB1E41">
        <w:rPr>
          <w:sz w:val="20"/>
          <w:szCs w:val="20"/>
        </w:rPr>
        <w:t>NIIF</w:t>
      </w:r>
      <w:proofErr w:type="spellEnd"/>
      <w:r w:rsidRPr="00EB1E41">
        <w:rPr>
          <w:sz w:val="20"/>
          <w:szCs w:val="20"/>
        </w:rPr>
        <w:t xml:space="preserve"> mismas se ha previsto que es poco probable que ellas cumplan completamente con todas las mediciones requeridas por las leyes fiscales y las regulaciones de una jurisdicción. No obstante, esta situación puede interpretarse en el sentido de que las autoridades de supervisión en Colombia han elegido la base </w:t>
      </w:r>
      <w:proofErr w:type="spellStart"/>
      <w:r w:rsidRPr="00EB1E41">
        <w:rPr>
          <w:sz w:val="20"/>
          <w:szCs w:val="20"/>
        </w:rPr>
        <w:t>NIIF</w:t>
      </w:r>
      <w:proofErr w:type="spellEnd"/>
      <w:r w:rsidRPr="00EB1E41">
        <w:rPr>
          <w:sz w:val="20"/>
          <w:szCs w:val="20"/>
        </w:rPr>
        <w:t xml:space="preserve"> como el fundamento para la preparación de Informes Financieros de Propósito especial.</w:t>
      </w:r>
    </w:p>
    <w:p w:rsidR="000E0163" w:rsidRPr="00EB1E41" w:rsidRDefault="000E0163" w:rsidP="000E016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Será </w:t>
      </w:r>
      <w:r w:rsidRPr="00EB1E41">
        <w:rPr>
          <w:sz w:val="20"/>
          <w:szCs w:val="20"/>
        </w:rPr>
        <w:t xml:space="preserve">necesario que las entidades de </w:t>
      </w:r>
      <w:r>
        <w:rPr>
          <w:sz w:val="20"/>
          <w:szCs w:val="20"/>
        </w:rPr>
        <w:t xml:space="preserve">supervisión </w:t>
      </w:r>
      <w:r w:rsidRPr="00EB1E41">
        <w:rPr>
          <w:sz w:val="20"/>
          <w:szCs w:val="20"/>
        </w:rPr>
        <w:t xml:space="preserve">determinen el impacto que para ellas representa la aplicación de </w:t>
      </w:r>
      <w:r>
        <w:rPr>
          <w:sz w:val="20"/>
          <w:szCs w:val="20"/>
        </w:rPr>
        <w:t>estas normas como base de reporte</w:t>
      </w:r>
      <w:r w:rsidRPr="00EB1E41">
        <w:rPr>
          <w:sz w:val="20"/>
          <w:szCs w:val="20"/>
        </w:rPr>
        <w:t xml:space="preserve">. Las </w:t>
      </w:r>
      <w:proofErr w:type="spellStart"/>
      <w:r w:rsidRPr="00EB1E41">
        <w:rPr>
          <w:sz w:val="20"/>
          <w:szCs w:val="20"/>
        </w:rPr>
        <w:t>NIIF</w:t>
      </w:r>
      <w:proofErr w:type="spellEnd"/>
      <w:r w:rsidRPr="00EB1E41">
        <w:rPr>
          <w:sz w:val="20"/>
          <w:szCs w:val="20"/>
        </w:rPr>
        <w:t xml:space="preserve"> aplicadas de manera integral podrían generar conflicto con disposiciones legales existentes en Colombia</w:t>
      </w:r>
      <w:r>
        <w:rPr>
          <w:sz w:val="20"/>
          <w:szCs w:val="20"/>
        </w:rPr>
        <w:t xml:space="preserve"> y</w:t>
      </w:r>
      <w:r w:rsidR="00165667">
        <w:rPr>
          <w:sz w:val="20"/>
          <w:szCs w:val="20"/>
        </w:rPr>
        <w:t xml:space="preserve"> </w:t>
      </w:r>
      <w:r w:rsidRPr="00EB1E41">
        <w:rPr>
          <w:sz w:val="20"/>
          <w:szCs w:val="20"/>
        </w:rPr>
        <w:t>con normas técnicas especiales</w:t>
      </w:r>
      <w:r>
        <w:rPr>
          <w:sz w:val="20"/>
          <w:szCs w:val="20"/>
        </w:rPr>
        <w:t xml:space="preserve"> relacionadas con la información requerida a las </w:t>
      </w:r>
      <w:r w:rsidRPr="00EB1E41">
        <w:rPr>
          <w:sz w:val="20"/>
          <w:szCs w:val="20"/>
        </w:rPr>
        <w:t xml:space="preserve">entidades vigiladas. </w:t>
      </w:r>
    </w:p>
    <w:p w:rsidR="000E0163" w:rsidRPr="00EB1E41" w:rsidRDefault="000E0163" w:rsidP="000E0163">
      <w:pPr>
        <w:jc w:val="both"/>
        <w:rPr>
          <w:sz w:val="20"/>
          <w:szCs w:val="20"/>
        </w:rPr>
      </w:pPr>
      <w:r>
        <w:rPr>
          <w:sz w:val="20"/>
          <w:szCs w:val="20"/>
        </w:rPr>
        <w:t>La</w:t>
      </w:r>
      <w:r w:rsidR="00165667">
        <w:rPr>
          <w:sz w:val="20"/>
          <w:szCs w:val="20"/>
        </w:rPr>
        <w:t xml:space="preserve"> </w:t>
      </w:r>
      <w:r w:rsidRPr="00EB1E41">
        <w:rPr>
          <w:sz w:val="20"/>
          <w:szCs w:val="20"/>
        </w:rPr>
        <w:t xml:space="preserve">aplicación integral de las </w:t>
      </w:r>
      <w:proofErr w:type="spellStart"/>
      <w:r w:rsidRPr="00EB1E41">
        <w:rPr>
          <w:sz w:val="20"/>
          <w:szCs w:val="20"/>
        </w:rPr>
        <w:t>NIIF</w:t>
      </w:r>
      <w:proofErr w:type="spellEnd"/>
      <w:r w:rsidR="00165667">
        <w:rPr>
          <w:sz w:val="20"/>
          <w:szCs w:val="20"/>
        </w:rPr>
        <w:t xml:space="preserve"> </w:t>
      </w:r>
      <w:r w:rsidRPr="00EB1E41">
        <w:rPr>
          <w:sz w:val="20"/>
          <w:szCs w:val="20"/>
        </w:rPr>
        <w:t xml:space="preserve">no será viable en un contexto de múltiples reguladores, que se especializan por sectores y que actúan de manera autónoma, ya que ellas sirven para elaborar Estados Financieros de Propósito General y no Estados Financieros de Propósito Especial. </w:t>
      </w:r>
      <w:r>
        <w:rPr>
          <w:sz w:val="20"/>
          <w:szCs w:val="20"/>
        </w:rPr>
        <w:t xml:space="preserve">En las </w:t>
      </w:r>
      <w:r w:rsidR="00280EFF">
        <w:rPr>
          <w:sz w:val="20"/>
          <w:szCs w:val="20"/>
        </w:rPr>
        <w:t xml:space="preserve">que </w:t>
      </w:r>
      <w:bookmarkStart w:id="0" w:name="_GoBack"/>
      <w:bookmarkEnd w:id="0"/>
      <w:r>
        <w:rPr>
          <w:sz w:val="20"/>
          <w:szCs w:val="20"/>
        </w:rPr>
        <w:t xml:space="preserve">no se </w:t>
      </w:r>
      <w:r w:rsidRPr="00EB1E41">
        <w:rPr>
          <w:sz w:val="20"/>
          <w:szCs w:val="20"/>
        </w:rPr>
        <w:t>entiende el concepto de entidad que informa (</w:t>
      </w:r>
      <w:proofErr w:type="spellStart"/>
      <w:r w:rsidRPr="00EB1E41">
        <w:rPr>
          <w:sz w:val="20"/>
          <w:szCs w:val="20"/>
        </w:rPr>
        <w:t>Entity</w:t>
      </w:r>
      <w:proofErr w:type="spellEnd"/>
      <w:r w:rsidRPr="00EB1E41">
        <w:rPr>
          <w:sz w:val="20"/>
          <w:szCs w:val="20"/>
        </w:rPr>
        <w:t xml:space="preserve"> </w:t>
      </w:r>
      <w:proofErr w:type="spellStart"/>
      <w:r w:rsidRPr="00EB1E41">
        <w:rPr>
          <w:sz w:val="20"/>
          <w:szCs w:val="20"/>
        </w:rPr>
        <w:t>Reporting</w:t>
      </w:r>
      <w:proofErr w:type="spellEnd"/>
      <w:r w:rsidRPr="00EB1E41">
        <w:rPr>
          <w:sz w:val="20"/>
          <w:szCs w:val="20"/>
        </w:rPr>
        <w:t xml:space="preserve">) como Entidad legal, pues la existencia legal de una entidad no es necesaria ni suficiente para conformar </w:t>
      </w:r>
      <w:r>
        <w:rPr>
          <w:sz w:val="20"/>
          <w:szCs w:val="20"/>
        </w:rPr>
        <w:t>un área de actividad o reporte</w:t>
      </w:r>
      <w:r w:rsidRPr="00EB1E41">
        <w:rPr>
          <w:sz w:val="20"/>
          <w:szCs w:val="20"/>
        </w:rPr>
        <w:t xml:space="preserve">, ya que muchas entidades </w:t>
      </w:r>
      <w:r w:rsidRPr="00EB1E41">
        <w:rPr>
          <w:sz w:val="20"/>
          <w:szCs w:val="20"/>
        </w:rPr>
        <w:lastRenderedPageBreak/>
        <w:t>legales o un segmento de ellas</w:t>
      </w:r>
      <w:r w:rsidR="00165667">
        <w:rPr>
          <w:sz w:val="20"/>
          <w:szCs w:val="20"/>
        </w:rPr>
        <w:t xml:space="preserve"> </w:t>
      </w:r>
      <w:r w:rsidRPr="00EB1E41">
        <w:rPr>
          <w:sz w:val="20"/>
          <w:szCs w:val="20"/>
        </w:rPr>
        <w:t xml:space="preserve">podrían conformar una </w:t>
      </w:r>
      <w:r>
        <w:rPr>
          <w:sz w:val="20"/>
          <w:szCs w:val="20"/>
        </w:rPr>
        <w:t xml:space="preserve">única </w:t>
      </w:r>
      <w:r w:rsidRPr="00EB1E41">
        <w:rPr>
          <w:sz w:val="20"/>
          <w:szCs w:val="20"/>
        </w:rPr>
        <w:t xml:space="preserve">entidad </w:t>
      </w:r>
      <w:proofErr w:type="spellStart"/>
      <w:r w:rsidRPr="00EB1E41">
        <w:rPr>
          <w:sz w:val="20"/>
          <w:szCs w:val="20"/>
        </w:rPr>
        <w:t>reportante</w:t>
      </w:r>
      <w:proofErr w:type="spellEnd"/>
      <w:r w:rsidRPr="00EB1E41">
        <w:rPr>
          <w:sz w:val="20"/>
          <w:szCs w:val="20"/>
        </w:rPr>
        <w:t>.</w:t>
      </w:r>
    </w:p>
    <w:p w:rsidR="000E0163" w:rsidRPr="00EB1E41" w:rsidRDefault="000E0163" w:rsidP="000E0163">
      <w:pPr>
        <w:jc w:val="both"/>
        <w:rPr>
          <w:sz w:val="20"/>
          <w:szCs w:val="20"/>
        </w:rPr>
      </w:pPr>
      <w:r w:rsidRPr="00EB1E41">
        <w:rPr>
          <w:sz w:val="20"/>
          <w:szCs w:val="20"/>
        </w:rPr>
        <w:t>Si la base de la regulación es la entidad legal, se requerirá una mayor coordinación entre las entidades de supervisión para comprender la importancia que tiene la información financiera consolidada y la información financiera</w:t>
      </w:r>
      <w:r>
        <w:rPr>
          <w:sz w:val="20"/>
          <w:szCs w:val="20"/>
        </w:rPr>
        <w:t xml:space="preserve"> individual</w:t>
      </w:r>
      <w:r w:rsidRPr="00EB1E41">
        <w:rPr>
          <w:sz w:val="20"/>
          <w:szCs w:val="20"/>
        </w:rPr>
        <w:t xml:space="preserve"> en el contexto de la regulación.</w:t>
      </w:r>
      <w:r w:rsidR="00165667">
        <w:rPr>
          <w:sz w:val="20"/>
          <w:szCs w:val="20"/>
        </w:rPr>
        <w:t xml:space="preserve"> </w:t>
      </w:r>
      <w:r w:rsidRPr="00EB1E41">
        <w:rPr>
          <w:sz w:val="20"/>
          <w:szCs w:val="20"/>
        </w:rPr>
        <w:t xml:space="preserve">Una entidad que aplica las </w:t>
      </w:r>
      <w:proofErr w:type="spellStart"/>
      <w:r w:rsidRPr="00EB1E41">
        <w:rPr>
          <w:sz w:val="20"/>
          <w:szCs w:val="20"/>
        </w:rPr>
        <w:t>NIIF</w:t>
      </w:r>
      <w:proofErr w:type="spellEnd"/>
      <w:r w:rsidRPr="00EB1E41">
        <w:rPr>
          <w:sz w:val="20"/>
          <w:szCs w:val="20"/>
        </w:rPr>
        <w:t xml:space="preserve"> no estaría obligada a elaborar estados financieros separados, excepto cuando de manera voluntaria elija elaborarlos o cuando estos sean requeridos por las autoridades de supervisión.</w:t>
      </w:r>
    </w:p>
    <w:p w:rsidR="000E0163" w:rsidRPr="00EB1E41" w:rsidRDefault="000E0163" w:rsidP="000E0163">
      <w:pPr>
        <w:jc w:val="both"/>
        <w:rPr>
          <w:sz w:val="20"/>
          <w:szCs w:val="20"/>
        </w:rPr>
      </w:pPr>
      <w:r w:rsidRPr="00EB1E41">
        <w:rPr>
          <w:sz w:val="20"/>
          <w:szCs w:val="20"/>
        </w:rPr>
        <w:t xml:space="preserve">Es largo el camino en este proceso y convendría recordar el siguiente texto del informe </w:t>
      </w:r>
      <w:proofErr w:type="spellStart"/>
      <w:r w:rsidRPr="00EB1E41">
        <w:rPr>
          <w:sz w:val="20"/>
          <w:szCs w:val="20"/>
        </w:rPr>
        <w:t>ROSC</w:t>
      </w:r>
      <w:proofErr w:type="spellEnd"/>
      <w:r w:rsidRPr="00EB1E41">
        <w:rPr>
          <w:sz w:val="20"/>
          <w:szCs w:val="20"/>
        </w:rPr>
        <w:t xml:space="preserve"> de contabilidad y auditoría para Colombia, que fue escrito hace ya casi 10 años: </w:t>
      </w:r>
    </w:p>
    <w:p w:rsidR="000E0163" w:rsidRPr="00C22265" w:rsidRDefault="000E0163" w:rsidP="000E0163">
      <w:pPr>
        <w:jc w:val="both"/>
        <w:rPr>
          <w:i/>
          <w:sz w:val="16"/>
          <w:szCs w:val="16"/>
        </w:rPr>
      </w:pPr>
      <w:r w:rsidRPr="00C22265">
        <w:rPr>
          <w:i/>
          <w:sz w:val="16"/>
          <w:szCs w:val="16"/>
        </w:rPr>
        <w:t xml:space="preserve">(…) “Los requisitos legales y reglamentarios en materia de contabilidad en Colombia han llevado a la emisión de estándares de contabilidad conflictivos derivados de múltiples fuentes. Las disposiciones legales que emiten diversos cuerpos regulatorios y que determinan los requerimientos contables para las entidades bajo su supervisión, </w:t>
      </w:r>
      <w:r w:rsidRPr="00C22265">
        <w:rPr>
          <w:b/>
          <w:i/>
          <w:sz w:val="16"/>
          <w:szCs w:val="16"/>
        </w:rPr>
        <w:t>han llevado a la existencia de estados financieros de propósito especial</w:t>
      </w:r>
      <w:r w:rsidRPr="00C22265">
        <w:rPr>
          <w:i/>
          <w:sz w:val="16"/>
          <w:szCs w:val="16"/>
        </w:rPr>
        <w:t xml:space="preserve">. </w:t>
      </w:r>
      <w:r w:rsidRPr="00C22265">
        <w:rPr>
          <w:b/>
          <w:i/>
          <w:sz w:val="16"/>
          <w:szCs w:val="16"/>
        </w:rPr>
        <w:t>En la práctica no existe el concepto de Reportes Financieros de Propósito General</w:t>
      </w:r>
      <w:r w:rsidRPr="00C22265">
        <w:rPr>
          <w:i/>
          <w:sz w:val="16"/>
          <w:szCs w:val="16"/>
        </w:rPr>
        <w:t xml:space="preserve">. (…) Traducción libre y subrayado no incluido en el texto original </w:t>
      </w:r>
      <w:r w:rsidRPr="00C22265">
        <w:rPr>
          <w:i/>
          <w:sz w:val="16"/>
          <w:szCs w:val="16"/>
          <w:vertAlign w:val="superscript"/>
        </w:rPr>
        <w:footnoteReference w:id="2"/>
      </w:r>
      <w:r w:rsidRPr="00C22265">
        <w:rPr>
          <w:i/>
          <w:sz w:val="16"/>
          <w:szCs w:val="16"/>
        </w:rPr>
        <w:t xml:space="preserve">. </w:t>
      </w:r>
    </w:p>
    <w:p w:rsidR="000E0163" w:rsidRDefault="000E0163" w:rsidP="000E0163">
      <w:pPr>
        <w:jc w:val="both"/>
        <w:rPr>
          <w:sz w:val="20"/>
          <w:szCs w:val="20"/>
        </w:rPr>
      </w:pPr>
      <w:r w:rsidRPr="00EB1E41">
        <w:rPr>
          <w:sz w:val="20"/>
          <w:szCs w:val="20"/>
        </w:rPr>
        <w:t>Celebro que caminemos hacía una regulación contable</w:t>
      </w:r>
      <w:r>
        <w:rPr>
          <w:sz w:val="20"/>
          <w:szCs w:val="20"/>
        </w:rPr>
        <w:t xml:space="preserve"> que utilice como base el marco conceptual y técnico de las </w:t>
      </w:r>
      <w:proofErr w:type="spellStart"/>
      <w:r>
        <w:rPr>
          <w:sz w:val="20"/>
          <w:szCs w:val="20"/>
        </w:rPr>
        <w:t>NIIF</w:t>
      </w:r>
      <w:proofErr w:type="spellEnd"/>
      <w:r>
        <w:rPr>
          <w:sz w:val="20"/>
          <w:szCs w:val="20"/>
        </w:rPr>
        <w:t xml:space="preserve">, pero las autoridades de supervisión deberán incorporar grandes cambios en sus estructuras de inspección, vigilancia y control. </w:t>
      </w:r>
    </w:p>
    <w:p w:rsidR="004D05D3" w:rsidRPr="000E0163" w:rsidRDefault="000E0163" w:rsidP="000E0163">
      <w:pPr>
        <w:jc w:val="right"/>
        <w:rPr>
          <w:i/>
        </w:rPr>
      </w:pPr>
      <w:r w:rsidRPr="000E0163">
        <w:rPr>
          <w:i/>
          <w:sz w:val="18"/>
          <w:szCs w:val="20"/>
        </w:rPr>
        <w:t xml:space="preserve">Wilmar Franco </w:t>
      </w:r>
      <w:proofErr w:type="spellStart"/>
      <w:r w:rsidRPr="000E0163">
        <w:rPr>
          <w:i/>
          <w:sz w:val="18"/>
          <w:szCs w:val="20"/>
        </w:rPr>
        <w:t>Franco</w:t>
      </w:r>
      <w:proofErr w:type="spellEnd"/>
    </w:p>
    <w:sectPr w:rsidR="004D05D3" w:rsidRPr="000E0163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385" w:rsidRDefault="00297385" w:rsidP="00EE7812">
      <w:pPr>
        <w:spacing w:after="0" w:line="240" w:lineRule="auto"/>
      </w:pPr>
      <w:r>
        <w:separator/>
      </w:r>
    </w:p>
  </w:endnote>
  <w:endnote w:type="continuationSeparator" w:id="0">
    <w:p w:rsidR="00297385" w:rsidRDefault="0029738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385" w:rsidRDefault="00297385" w:rsidP="00EE7812">
      <w:pPr>
        <w:spacing w:after="0" w:line="240" w:lineRule="auto"/>
      </w:pPr>
      <w:r>
        <w:separator/>
      </w:r>
    </w:p>
  </w:footnote>
  <w:footnote w:type="continuationSeparator" w:id="0">
    <w:p w:rsidR="00297385" w:rsidRDefault="00297385" w:rsidP="00EE7812">
      <w:pPr>
        <w:spacing w:after="0" w:line="240" w:lineRule="auto"/>
      </w:pPr>
      <w:r>
        <w:continuationSeparator/>
      </w:r>
    </w:p>
  </w:footnote>
  <w:footnote w:id="1">
    <w:p w:rsidR="000E0163" w:rsidRPr="00BF6F58" w:rsidRDefault="000E0163" w:rsidP="000E0163">
      <w:pPr>
        <w:pStyle w:val="Textonotapie"/>
      </w:pPr>
      <w:r w:rsidRPr="00BF6F58">
        <w:rPr>
          <w:rStyle w:val="Refdenotaalpie"/>
          <w:sz w:val="16"/>
        </w:rPr>
        <w:footnoteRef/>
      </w:r>
      <w:r w:rsidRPr="00BF6F58">
        <w:rPr>
          <w:sz w:val="16"/>
        </w:rPr>
        <w:t xml:space="preserve"> </w:t>
      </w:r>
      <w:r w:rsidRPr="00BF6F58">
        <w:rPr>
          <w:sz w:val="16"/>
          <w:lang w:val="es-CO"/>
        </w:rPr>
        <w:t>Ver definición en el Art. 24 Del Decreto 2649 de 1993</w:t>
      </w:r>
    </w:p>
  </w:footnote>
  <w:footnote w:id="2">
    <w:p w:rsidR="000E0163" w:rsidRDefault="000E0163" w:rsidP="00165667">
      <w:pPr>
        <w:ind w:left="708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i/>
          <w:sz w:val="18"/>
          <w:szCs w:val="20"/>
        </w:rPr>
        <w:t>Ver documento en ingles en (</w:t>
      </w:r>
      <w:hyperlink r:id="rId1" w:history="1">
        <w:r>
          <w:rPr>
            <w:rStyle w:val="Hipervnculo"/>
            <w:i/>
            <w:sz w:val="18"/>
          </w:rPr>
          <w:t>http://www.worldbank.org/ifa/rosc_aa_col.pdf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F03351">
      <w:t>6</w:t>
    </w:r>
    <w:r w:rsidR="000E0163">
      <w:t>4</w:t>
    </w:r>
    <w:r w:rsidR="009D09BB">
      <w:t xml:space="preserve">, </w:t>
    </w:r>
    <w:r w:rsidR="00297D4C">
      <w:t>enero</w:t>
    </w:r>
    <w:r w:rsidR="00F70A1E">
      <w:t xml:space="preserve"> </w:t>
    </w:r>
    <w:r w:rsidR="00297D4C">
      <w:t>10</w:t>
    </w:r>
    <w:r w:rsidR="0005771D">
      <w:t xml:space="preserve"> </w:t>
    </w:r>
    <w:r w:rsidR="0080786C">
      <w:t>de 201</w:t>
    </w:r>
    <w:r w:rsidR="00297D4C">
      <w:t>2</w:t>
    </w:r>
  </w:p>
  <w:p w:rsidR="0046164F" w:rsidRDefault="00297385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78D"/>
    <w:rsid w:val="0003096A"/>
    <w:rsid w:val="00030D04"/>
    <w:rsid w:val="00030FC0"/>
    <w:rsid w:val="000310EB"/>
    <w:rsid w:val="0003154A"/>
    <w:rsid w:val="00031558"/>
    <w:rsid w:val="00032BE8"/>
    <w:rsid w:val="00032C18"/>
    <w:rsid w:val="00032D65"/>
    <w:rsid w:val="00033075"/>
    <w:rsid w:val="000331B5"/>
    <w:rsid w:val="00033AF1"/>
    <w:rsid w:val="00034366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A47"/>
    <w:rsid w:val="00054502"/>
    <w:rsid w:val="00054A86"/>
    <w:rsid w:val="000552FF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BB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5FEF"/>
    <w:rsid w:val="000765CD"/>
    <w:rsid w:val="000767A2"/>
    <w:rsid w:val="000767A4"/>
    <w:rsid w:val="00077E87"/>
    <w:rsid w:val="00080115"/>
    <w:rsid w:val="0008048F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5C6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236B"/>
    <w:rsid w:val="00102DCF"/>
    <w:rsid w:val="00102E47"/>
    <w:rsid w:val="00102FD8"/>
    <w:rsid w:val="00103402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72AA"/>
    <w:rsid w:val="00127B99"/>
    <w:rsid w:val="00130735"/>
    <w:rsid w:val="00130BDE"/>
    <w:rsid w:val="00130C3D"/>
    <w:rsid w:val="00130D69"/>
    <w:rsid w:val="001311CA"/>
    <w:rsid w:val="0013166E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4F50"/>
    <w:rsid w:val="00165031"/>
    <w:rsid w:val="0016516A"/>
    <w:rsid w:val="00165667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14E9"/>
    <w:rsid w:val="001918EE"/>
    <w:rsid w:val="001918F1"/>
    <w:rsid w:val="00191B53"/>
    <w:rsid w:val="00191E17"/>
    <w:rsid w:val="00192258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30D"/>
    <w:rsid w:val="001C4AC5"/>
    <w:rsid w:val="001C4C2B"/>
    <w:rsid w:val="001C51C8"/>
    <w:rsid w:val="001C5D67"/>
    <w:rsid w:val="001C6613"/>
    <w:rsid w:val="001D0798"/>
    <w:rsid w:val="001D09A6"/>
    <w:rsid w:val="001D0CC2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53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B00"/>
    <w:rsid w:val="002D51AE"/>
    <w:rsid w:val="002D524A"/>
    <w:rsid w:val="002D57A4"/>
    <w:rsid w:val="002D58A8"/>
    <w:rsid w:val="002D6261"/>
    <w:rsid w:val="002D6703"/>
    <w:rsid w:val="002D74D7"/>
    <w:rsid w:val="002D7634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DB7"/>
    <w:rsid w:val="002E3371"/>
    <w:rsid w:val="002E3442"/>
    <w:rsid w:val="002E3AF1"/>
    <w:rsid w:val="002E3CBB"/>
    <w:rsid w:val="002E43A7"/>
    <w:rsid w:val="002E4427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CE5"/>
    <w:rsid w:val="00317DD8"/>
    <w:rsid w:val="003202AE"/>
    <w:rsid w:val="003203A6"/>
    <w:rsid w:val="00320575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C10"/>
    <w:rsid w:val="003273B4"/>
    <w:rsid w:val="003275FA"/>
    <w:rsid w:val="00330340"/>
    <w:rsid w:val="00330540"/>
    <w:rsid w:val="00330C4D"/>
    <w:rsid w:val="0033136C"/>
    <w:rsid w:val="00331864"/>
    <w:rsid w:val="00331936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D39"/>
    <w:rsid w:val="00366EDF"/>
    <w:rsid w:val="0036731D"/>
    <w:rsid w:val="00367708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BD2"/>
    <w:rsid w:val="00392078"/>
    <w:rsid w:val="00392D21"/>
    <w:rsid w:val="00393787"/>
    <w:rsid w:val="00394ABE"/>
    <w:rsid w:val="00395158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227D"/>
    <w:rsid w:val="003A32BA"/>
    <w:rsid w:val="003A3EAB"/>
    <w:rsid w:val="003A471E"/>
    <w:rsid w:val="003A63E9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D77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0BC5"/>
    <w:rsid w:val="003D16C3"/>
    <w:rsid w:val="003D1C14"/>
    <w:rsid w:val="003D215C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4CF1"/>
    <w:rsid w:val="003E5C8F"/>
    <w:rsid w:val="003E5E78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382E"/>
    <w:rsid w:val="004138CC"/>
    <w:rsid w:val="00413CFE"/>
    <w:rsid w:val="00414184"/>
    <w:rsid w:val="004145A2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AEE"/>
    <w:rsid w:val="00434313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4BD"/>
    <w:rsid w:val="004716DB"/>
    <w:rsid w:val="00471BA6"/>
    <w:rsid w:val="00472547"/>
    <w:rsid w:val="00472556"/>
    <w:rsid w:val="0047258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217"/>
    <w:rsid w:val="004C562C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4D8E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57B1B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E26"/>
    <w:rsid w:val="005A5272"/>
    <w:rsid w:val="005A53A4"/>
    <w:rsid w:val="005A5624"/>
    <w:rsid w:val="005A56AB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7139"/>
    <w:rsid w:val="005C7832"/>
    <w:rsid w:val="005C7E7C"/>
    <w:rsid w:val="005D03D1"/>
    <w:rsid w:val="005D0C2E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99C"/>
    <w:rsid w:val="006356B0"/>
    <w:rsid w:val="00635821"/>
    <w:rsid w:val="0063586E"/>
    <w:rsid w:val="00635D3B"/>
    <w:rsid w:val="00635EC2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5ABD"/>
    <w:rsid w:val="00655D7D"/>
    <w:rsid w:val="006560BC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781"/>
    <w:rsid w:val="006A5C9D"/>
    <w:rsid w:val="006A5F6F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05D"/>
    <w:rsid w:val="006F125C"/>
    <w:rsid w:val="006F1517"/>
    <w:rsid w:val="006F158D"/>
    <w:rsid w:val="006F1927"/>
    <w:rsid w:val="006F1D4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FFD"/>
    <w:rsid w:val="00702112"/>
    <w:rsid w:val="00702316"/>
    <w:rsid w:val="00702DDC"/>
    <w:rsid w:val="00703446"/>
    <w:rsid w:val="007034BF"/>
    <w:rsid w:val="00703B0D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7"/>
    <w:rsid w:val="007546BB"/>
    <w:rsid w:val="00754D48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52A7"/>
    <w:rsid w:val="007955EC"/>
    <w:rsid w:val="00795882"/>
    <w:rsid w:val="00795B08"/>
    <w:rsid w:val="00796622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72DC"/>
    <w:rsid w:val="007C0031"/>
    <w:rsid w:val="007C1368"/>
    <w:rsid w:val="007C3781"/>
    <w:rsid w:val="007C379C"/>
    <w:rsid w:val="007C4B4A"/>
    <w:rsid w:val="007C5172"/>
    <w:rsid w:val="007C53FC"/>
    <w:rsid w:val="007C542D"/>
    <w:rsid w:val="007C5CEC"/>
    <w:rsid w:val="007C61C5"/>
    <w:rsid w:val="007C633B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D88"/>
    <w:rsid w:val="007D68AC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655"/>
    <w:rsid w:val="00810DEF"/>
    <w:rsid w:val="00810E60"/>
    <w:rsid w:val="00811171"/>
    <w:rsid w:val="0081236D"/>
    <w:rsid w:val="00812791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416"/>
    <w:rsid w:val="008236F4"/>
    <w:rsid w:val="008240E0"/>
    <w:rsid w:val="0082436B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1E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BAA"/>
    <w:rsid w:val="00893616"/>
    <w:rsid w:val="0089369A"/>
    <w:rsid w:val="008938C3"/>
    <w:rsid w:val="008938E7"/>
    <w:rsid w:val="00893C17"/>
    <w:rsid w:val="00893CC1"/>
    <w:rsid w:val="00893FFD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631B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6D0A"/>
    <w:rsid w:val="008C7380"/>
    <w:rsid w:val="008C7719"/>
    <w:rsid w:val="008C79A3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2D5"/>
    <w:rsid w:val="009173FE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E1"/>
    <w:rsid w:val="00941864"/>
    <w:rsid w:val="00941AA9"/>
    <w:rsid w:val="00941BB6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E97"/>
    <w:rsid w:val="009F2EEA"/>
    <w:rsid w:val="009F3B78"/>
    <w:rsid w:val="009F4C47"/>
    <w:rsid w:val="009F4D85"/>
    <w:rsid w:val="009F5749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10A3C"/>
    <w:rsid w:val="00A10E03"/>
    <w:rsid w:val="00A1122D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1F9"/>
    <w:rsid w:val="00A263B2"/>
    <w:rsid w:val="00A267E3"/>
    <w:rsid w:val="00A26DA4"/>
    <w:rsid w:val="00A26FD1"/>
    <w:rsid w:val="00A272E2"/>
    <w:rsid w:val="00A27963"/>
    <w:rsid w:val="00A27A2D"/>
    <w:rsid w:val="00A3038E"/>
    <w:rsid w:val="00A3068F"/>
    <w:rsid w:val="00A317F3"/>
    <w:rsid w:val="00A32208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769F"/>
    <w:rsid w:val="00AC0610"/>
    <w:rsid w:val="00AC102E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57A6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15C5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089F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D3A"/>
    <w:rsid w:val="00B5535F"/>
    <w:rsid w:val="00B554DC"/>
    <w:rsid w:val="00B5561D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57B9"/>
    <w:rsid w:val="00BA5D53"/>
    <w:rsid w:val="00BA637A"/>
    <w:rsid w:val="00BA6918"/>
    <w:rsid w:val="00BA6C49"/>
    <w:rsid w:val="00BA6F50"/>
    <w:rsid w:val="00BA7CD3"/>
    <w:rsid w:val="00BA7E7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99E"/>
    <w:rsid w:val="00BD2D89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898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6F06"/>
    <w:rsid w:val="00BF720D"/>
    <w:rsid w:val="00C00040"/>
    <w:rsid w:val="00C00719"/>
    <w:rsid w:val="00C0072E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202D"/>
    <w:rsid w:val="00C32444"/>
    <w:rsid w:val="00C3269A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3F07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47D4"/>
    <w:rsid w:val="00C74A56"/>
    <w:rsid w:val="00C74FE0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4E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78B"/>
    <w:rsid w:val="00D44A91"/>
    <w:rsid w:val="00D44DF5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2ED"/>
    <w:rsid w:val="00D5266A"/>
    <w:rsid w:val="00D53508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007"/>
    <w:rsid w:val="00D84CBA"/>
    <w:rsid w:val="00D8556F"/>
    <w:rsid w:val="00D855AA"/>
    <w:rsid w:val="00D86115"/>
    <w:rsid w:val="00D8624F"/>
    <w:rsid w:val="00D871CD"/>
    <w:rsid w:val="00D8772E"/>
    <w:rsid w:val="00D87F2E"/>
    <w:rsid w:val="00D9028B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8B9"/>
    <w:rsid w:val="00D94ABD"/>
    <w:rsid w:val="00D94F49"/>
    <w:rsid w:val="00D9604D"/>
    <w:rsid w:val="00D960F8"/>
    <w:rsid w:val="00D96595"/>
    <w:rsid w:val="00D96D5D"/>
    <w:rsid w:val="00D97260"/>
    <w:rsid w:val="00D97ECE"/>
    <w:rsid w:val="00DA04C2"/>
    <w:rsid w:val="00DA0C2D"/>
    <w:rsid w:val="00DA0C42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5BB"/>
    <w:rsid w:val="00DC0C55"/>
    <w:rsid w:val="00DC1619"/>
    <w:rsid w:val="00DC16E4"/>
    <w:rsid w:val="00DC1B3A"/>
    <w:rsid w:val="00DC1E4F"/>
    <w:rsid w:val="00DC1F45"/>
    <w:rsid w:val="00DC252E"/>
    <w:rsid w:val="00DC2CBE"/>
    <w:rsid w:val="00DC2D72"/>
    <w:rsid w:val="00DC3724"/>
    <w:rsid w:val="00DC3D0A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E04"/>
    <w:rsid w:val="00DE1EF9"/>
    <w:rsid w:val="00DE22B9"/>
    <w:rsid w:val="00DE2619"/>
    <w:rsid w:val="00DE29CF"/>
    <w:rsid w:val="00DE2E63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F64"/>
    <w:rsid w:val="00E0266E"/>
    <w:rsid w:val="00E02A6D"/>
    <w:rsid w:val="00E03828"/>
    <w:rsid w:val="00E03A42"/>
    <w:rsid w:val="00E03C3F"/>
    <w:rsid w:val="00E03C47"/>
    <w:rsid w:val="00E03C84"/>
    <w:rsid w:val="00E03E60"/>
    <w:rsid w:val="00E04315"/>
    <w:rsid w:val="00E0434E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406"/>
    <w:rsid w:val="00E23798"/>
    <w:rsid w:val="00E2436E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D6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0C2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E1A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67A6A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D10"/>
    <w:rsid w:val="00F17451"/>
    <w:rsid w:val="00F17AC0"/>
    <w:rsid w:val="00F17EEE"/>
    <w:rsid w:val="00F208D5"/>
    <w:rsid w:val="00F20CE3"/>
    <w:rsid w:val="00F20D4D"/>
    <w:rsid w:val="00F20FB3"/>
    <w:rsid w:val="00F21659"/>
    <w:rsid w:val="00F217E9"/>
    <w:rsid w:val="00F2195F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34DB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2F79"/>
    <w:rsid w:val="00F634D2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BAB"/>
    <w:rsid w:val="00F73198"/>
    <w:rsid w:val="00F733CB"/>
    <w:rsid w:val="00F7355A"/>
    <w:rsid w:val="00F73566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C7F"/>
    <w:rsid w:val="00FE31AB"/>
    <w:rsid w:val="00FE3537"/>
    <w:rsid w:val="00FE3A75"/>
    <w:rsid w:val="00FE4BDE"/>
    <w:rsid w:val="00FE53F6"/>
    <w:rsid w:val="00FE545E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orldbank.org/ifa/rosc_aa_co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0B312-5E2D-4048-AD66-6AEE29A9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509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hbermude</cp:lastModifiedBy>
  <cp:revision>4</cp:revision>
  <cp:lastPrinted>2011-08-23T16:28:00Z</cp:lastPrinted>
  <dcterms:created xsi:type="dcterms:W3CDTF">2012-01-10T13:33:00Z</dcterms:created>
  <dcterms:modified xsi:type="dcterms:W3CDTF">2012-01-10T18:40:00Z</dcterms:modified>
</cp:coreProperties>
</file>