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0B676" w14:textId="2F7D5A9C" w:rsidR="00CC4E89" w:rsidRPr="00CC4E89" w:rsidRDefault="00CC4E89" w:rsidP="00CC4E8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C4E89">
        <w:rPr>
          <w:position w:val="-9"/>
          <w:sz w:val="123"/>
        </w:rPr>
        <w:t>L</w:t>
      </w:r>
    </w:p>
    <w:p w14:paraId="27996881" w14:textId="45C01114" w:rsidR="008B4242" w:rsidRDefault="00CC4E89" w:rsidP="00CC4E89">
      <w:r>
        <w:t>a factura es el soporte más frecuente. Entre la legislación tributaria y la comercial se han encargado de multiplicar sus requisitos. Como se recordará, ahora todas ellas son títulos valores. Como era de esperar, muchísimos empresarios no las aceptan e impiden su circulación. Por otro lado, el plazo real para pagar se ha ido extendiendo de 15 días a 150.</w:t>
      </w:r>
    </w:p>
    <w:p w14:paraId="745BFA43" w14:textId="541FE3DC" w:rsidR="00CC4E89" w:rsidRDefault="00CC4E89" w:rsidP="00CC4E89">
      <w:r>
        <w:t xml:space="preserve">En la </w:t>
      </w:r>
      <w:hyperlink r:id="rId8" w:history="1">
        <w:r w:rsidRPr="00CC4E89">
          <w:rPr>
            <w:rStyle w:val="Hipervnculo"/>
          </w:rPr>
          <w:t>Ley 1676 de 2013</w:t>
        </w:r>
      </w:hyperlink>
      <w:r>
        <w:t xml:space="preserve"> (agosto 20) “Por la cual se promueve el acceso al crédito y se dictan normas sobre garantías mobiliarias”.se lee: “</w:t>
      </w:r>
      <w:r w:rsidRPr="00557224">
        <w:rPr>
          <w:i/>
        </w:rPr>
        <w:t xml:space="preserve">Artículo 87. Adiciónese el artículo 7ºde la Ley 1231 de 2008, con el parágrafo 1° y 2°, del siguiente tenor. ―Parágrafo 1°. Toda retención de la factura o acto del comprador del bien o beneficiario del servicio que impida la libre circulación de la misma, constituye una práctica restrictiva de la competencia que será investigada y sancionada, de oficio o a solicitud de la parte afectada, por la Superintendencia de Industria y Comercio de conformidad con lo establecido en el artículo 16 de la Ley 590 de 2000. </w:t>
      </w:r>
      <w:r w:rsidR="00557224" w:rsidRPr="00557224">
        <w:rPr>
          <w:i/>
        </w:rPr>
        <w:t>―</w:t>
      </w:r>
      <w:r w:rsidRPr="00557224">
        <w:rPr>
          <w:i/>
        </w:rPr>
        <w:t>Parágrafo 2°. Los administradores de las sociedades comerciales están obligados en la memoria de gestión anual, a dejar constancia de que no entorpecieron la libre circulación de las facturas emitidas por los vendedores o proveedores. El Revisor Fiscal en su dictamen anual deberá pronunciarse sobre el cumplimiento de lo anterior, por parte de la administración</w:t>
      </w:r>
      <w:r>
        <w:t>.</w:t>
      </w:r>
      <w:r w:rsidR="00557224">
        <w:t xml:space="preserve">”. En </w:t>
      </w:r>
      <w:hyperlink r:id="rId9" w:history="1">
        <w:r w:rsidR="00557224" w:rsidRPr="00557224">
          <w:rPr>
            <w:rStyle w:val="Hipervnculo"/>
          </w:rPr>
          <w:t>noviembre de 2017</w:t>
        </w:r>
      </w:hyperlink>
      <w:r w:rsidR="00557224">
        <w:t xml:space="preserve"> se informó que la Superintendencia de Industria y Comercio formuló cargos contra las cuatro más grandes firmas de auditores por no haber informado si los </w:t>
      </w:r>
      <w:r w:rsidR="00557224">
        <w:t>administradores cumplieron o no con permitir la libre circulación de las facturas.</w:t>
      </w:r>
    </w:p>
    <w:p w14:paraId="65BC14A7" w14:textId="635ECFC3" w:rsidR="00557224" w:rsidRDefault="00545216" w:rsidP="00CC4E89">
      <w:r>
        <w:t xml:space="preserve">El Derecho de los mercados, libre competencia y consumidores, es una disciplina muy poco estudiada por los contadores, a pesar de la vinculación que a él hizo el artículo 18 de la </w:t>
      </w:r>
      <w:hyperlink r:id="rId10" w:history="1">
        <w:r w:rsidRPr="00545216">
          <w:rPr>
            <w:rStyle w:val="Hipervnculo"/>
          </w:rPr>
          <w:t>Ley 155 de 1959</w:t>
        </w:r>
      </w:hyperlink>
      <w:r>
        <w:t>.</w:t>
      </w:r>
    </w:p>
    <w:p w14:paraId="47555749" w14:textId="0666FB5E" w:rsidR="00545216" w:rsidRDefault="006A6D86" w:rsidP="00CC4E89">
      <w:r>
        <w:t xml:space="preserve">Mediante la </w:t>
      </w:r>
      <w:hyperlink r:id="rId11" w:history="1">
        <w:r w:rsidRPr="006A6D86">
          <w:rPr>
            <w:rStyle w:val="Hipervnculo"/>
          </w:rPr>
          <w:t>Ley 603 de 2000</w:t>
        </w:r>
      </w:hyperlink>
      <w:r>
        <w:t xml:space="preserve"> se adicionó el contenido del informe de gestión así: “</w:t>
      </w:r>
      <w:r w:rsidRPr="006A6D86">
        <w:rPr>
          <w:i/>
        </w:rPr>
        <w:t>4. El estado de cumplimiento de las normas sobre propiedad intelectual y derechos de autor por parte de la sociedad</w:t>
      </w:r>
      <w:r w:rsidRPr="006A6D86">
        <w:t>.</w:t>
      </w:r>
      <w:r>
        <w:t>” La Dirección Nacional de Derechos de Autor sostuvo que el revisor fiscal debía verificar esta manifestación.</w:t>
      </w:r>
    </w:p>
    <w:p w14:paraId="37C607C3" w14:textId="33943D13" w:rsidR="006A6D86" w:rsidRDefault="006A6D86" w:rsidP="00CC4E89">
      <w:r>
        <w:t xml:space="preserve">Por lo tanto, </w:t>
      </w:r>
      <w:bookmarkStart w:id="0" w:name="_GoBack"/>
      <w:r>
        <w:t>las manifestaciones generales, según las cuales los administradores han actuado conforme a la ley y las operaciones se han sujetado a ella, se encuentran ahora precisadas por el legislador</w:t>
      </w:r>
      <w:bookmarkEnd w:id="0"/>
      <w:r>
        <w:t>, obligando al revisor fiscal a profundizar su trabajo.</w:t>
      </w:r>
    </w:p>
    <w:p w14:paraId="58F7CD34" w14:textId="63780E82" w:rsidR="006A6D86" w:rsidRDefault="006A6D86" w:rsidP="00CC4E89">
      <w:r>
        <w:t>Una auditoría financiera no se planea para obtener evidencia sobre el cumplimiento de normas a no ser que su incumplimiento pueda implicar una partida de importancia para los estados financieros.</w:t>
      </w:r>
    </w:p>
    <w:p w14:paraId="0FD17AA7" w14:textId="5968EEAC" w:rsidR="006A6D86" w:rsidRDefault="00B066E5" w:rsidP="00CC4E89">
      <w:r>
        <w:t xml:space="preserve">No parece que estas cuestiones estén bien tratadas al incluirlas en el </w:t>
      </w:r>
      <w:r w:rsidRPr="00B066E5">
        <w:t>Informe sobre otros requerimientos legales y reglamentarios</w:t>
      </w:r>
      <w:r w:rsidR="00A26537">
        <w:t xml:space="preserve">, según lo dispuesto en el párrafo 43 de la sección 700 de las NIA. Mejor sería que ellas aparecieran en el informe de la auditoría de cumplimiento. </w:t>
      </w:r>
      <w:r w:rsidR="00392EAA">
        <w:t>En todo caso el profesional debe procurar que su informe sea claro y ceñido a la verdad.</w:t>
      </w:r>
    </w:p>
    <w:p w14:paraId="29992A1B" w14:textId="1AA86E80" w:rsidR="00392EAA" w:rsidRPr="00392EAA" w:rsidRDefault="00392EAA" w:rsidP="00392EAA">
      <w:pPr>
        <w:jc w:val="right"/>
        <w:rPr>
          <w:i/>
        </w:rPr>
      </w:pPr>
      <w:r w:rsidRPr="00392EAA">
        <w:rPr>
          <w:i/>
        </w:rPr>
        <w:t>Hernando Bermúdez Gómez</w:t>
      </w:r>
    </w:p>
    <w:sectPr w:rsidR="00392EAA" w:rsidRPr="00392EAA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2BE1" w14:textId="77777777" w:rsidR="00F971D7" w:rsidRDefault="00F971D7" w:rsidP="00EE7812">
      <w:pPr>
        <w:spacing w:after="0" w:line="240" w:lineRule="auto"/>
      </w:pPr>
      <w:r>
        <w:separator/>
      </w:r>
    </w:p>
  </w:endnote>
  <w:endnote w:type="continuationSeparator" w:id="0">
    <w:p w14:paraId="37D7BAF7" w14:textId="77777777" w:rsidR="00F971D7" w:rsidRDefault="00F971D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CE09" w14:textId="77777777" w:rsidR="00F971D7" w:rsidRDefault="00F971D7" w:rsidP="00EE7812">
      <w:pPr>
        <w:spacing w:after="0" w:line="240" w:lineRule="auto"/>
      </w:pPr>
      <w:r>
        <w:separator/>
      </w:r>
    </w:p>
  </w:footnote>
  <w:footnote w:type="continuationSeparator" w:id="0">
    <w:p w14:paraId="57CB0455" w14:textId="77777777" w:rsidR="00F971D7" w:rsidRDefault="00F971D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5968B1B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6E3C68">
      <w:t>4</w:t>
    </w:r>
    <w:r w:rsidR="00CC4E89">
      <w:t>3</w:t>
    </w:r>
    <w:r w:rsidR="00F23D44">
      <w:t xml:space="preserve">, </w:t>
    </w:r>
    <w:r w:rsidR="00374D89">
      <w:t>14</w:t>
    </w:r>
    <w:r w:rsidR="00E13666">
      <w:t xml:space="preserve"> de </w:t>
    </w:r>
    <w:r w:rsidR="004D4BD7">
      <w:t>octubre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F971D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3C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537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7D7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1D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8616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Leyes/16644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in-juriscol.gov.co/viewDocument.asp?ruta=Leyes/1652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c.gov.co/noticias/por-practicas-anticompetitivas-relacionadas-con-obstruir-la-libre-circulacion-de-las-facturas-superindustria-formulo-pliego-de-cargos-contra-varias-empres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6FAC-208A-497E-8A02-FBBDA874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2019-10-13T17:39:00Z</dcterms:created>
  <dcterms:modified xsi:type="dcterms:W3CDTF">2019-10-13T17:39:00Z</dcterms:modified>
</cp:coreProperties>
</file>