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A82B4" w14:textId="0A1B3968" w:rsidR="00875C7D" w:rsidRPr="00875C7D" w:rsidRDefault="00875C7D" w:rsidP="00875C7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875C7D">
        <w:rPr>
          <w:position w:val="-7"/>
          <w:sz w:val="120"/>
        </w:rPr>
        <w:t>S</w:t>
      </w:r>
    </w:p>
    <w:p w14:paraId="29992A1B" w14:textId="35232EC5" w:rsidR="00392EAA" w:rsidRPr="0040640C" w:rsidRDefault="00875C7D" w:rsidP="00875C7D">
      <w:pPr>
        <w:rPr>
          <w:lang w:val="en-US"/>
        </w:rPr>
      </w:pPr>
      <w:r>
        <w:t xml:space="preserve">e lee en el </w:t>
      </w:r>
      <w:hyperlink r:id="rId8" w:history="1">
        <w:r w:rsidRPr="00875C7D">
          <w:rPr>
            <w:rStyle w:val="Hipervnculo"/>
          </w:rPr>
          <w:t>Decreto Único Reglamentario 2420 de 2015</w:t>
        </w:r>
      </w:hyperlink>
      <w:r>
        <w:t>: “</w:t>
      </w:r>
      <w:r w:rsidRPr="00875C7D">
        <w:rPr>
          <w:i/>
        </w:rPr>
        <w:t>ART. 1.2.1.2. — Modificado. D.R. 2132/2016, art. 3º. Ámbito de aplicación. El presente título será de aplicación obligatoria para todos los contadores públicos, en las siguientes condiciones: ―1. Los revisores fiscales que presten sus servicios, a entidades del grupo 1, y a las entidades del grupo 2 que tengan más de 30.000 salarios mínimos mensuales legales vigentes (</w:t>
      </w:r>
      <w:proofErr w:type="spellStart"/>
      <w:r w:rsidRPr="00875C7D">
        <w:rPr>
          <w:i/>
        </w:rPr>
        <w:t>smmlv</w:t>
      </w:r>
      <w:proofErr w:type="spellEnd"/>
      <w:r w:rsidRPr="00875C7D">
        <w:rPr>
          <w:i/>
        </w:rPr>
        <w:t>)de activos o, más de 200 trabajadores, en los términos establecidos para tales efectos en el título 1 de la parte 1 del libro 1 y en el título 2 de la parte 1 del libro 1, respectivamente, del Decreto 2420 de 2015 y normas posteriores que lo modifiquen, adicionen o sustituyan, así como a los revisores fiscales que dictaminen estados financieros consolidados de estas entidades, aplicarán las NIA contenidas en el anexo 4, o el anexo que lo modifique o adicione, de dicho Decreto 2420 de 2015, en cumplimiento de las responsabilidades contenidas en los artículos 207, numeral 7º, y 208 del Código de Comercio, en relación con el dictamen de los estados financieros, y aplicarán las ISAE contenidas en dicho anexo 4, o el anexo que lo modifique o adicione, en desarrollo de las responsabilidades contenidas en el artículo 209 del Código de Comercio, relacionadas con la evaluación del cumplimiento de las disposiciones estatutarias y de la asamblea o junta de socios y con la evaluación del control interno.</w:t>
      </w:r>
      <w:r>
        <w:t xml:space="preserve"> </w:t>
      </w:r>
      <w:r w:rsidRPr="0040640C">
        <w:rPr>
          <w:lang w:val="en-US"/>
        </w:rPr>
        <w:t>(…)”.</w:t>
      </w:r>
    </w:p>
    <w:p w14:paraId="21C61C9A" w14:textId="341ECF1C" w:rsidR="00875C7D" w:rsidRDefault="0040640C" w:rsidP="00875C7D">
      <w:pPr>
        <w:rPr>
          <w:lang w:val="en-US"/>
        </w:rPr>
      </w:pPr>
      <w:r w:rsidRPr="0040640C">
        <w:rPr>
          <w:lang w:val="en-US"/>
        </w:rPr>
        <w:t xml:space="preserve">Tal </w:t>
      </w:r>
      <w:proofErr w:type="spellStart"/>
      <w:r w:rsidRPr="0040640C">
        <w:rPr>
          <w:lang w:val="en-US"/>
        </w:rPr>
        <w:t>como</w:t>
      </w:r>
      <w:proofErr w:type="spellEnd"/>
      <w:r w:rsidRPr="0040640C">
        <w:rPr>
          <w:lang w:val="en-US"/>
        </w:rPr>
        <w:t xml:space="preserve"> lo </w:t>
      </w:r>
      <w:proofErr w:type="spellStart"/>
      <w:r w:rsidRPr="0040640C">
        <w:rPr>
          <w:lang w:val="en-US"/>
        </w:rPr>
        <w:t>recordó</w:t>
      </w:r>
      <w:proofErr w:type="spellEnd"/>
      <w:r w:rsidRPr="0040640C">
        <w:rPr>
          <w:lang w:val="en-US"/>
        </w:rPr>
        <w:t xml:space="preserve"> </w:t>
      </w:r>
      <w:r w:rsidR="00F04301">
        <w:fldChar w:fldCharType="begin"/>
      </w:r>
      <w:r w:rsidR="00F04301" w:rsidRPr="0057591F">
        <w:rPr>
          <w:lang w:val="en-US"/>
        </w:rPr>
        <w:instrText xml:space="preserve"> HYPERLINK "https://www.aicpa.org/interestareas/frc/assuranceadvisoryservices/downloadabledocuments/asec_wp_providers_users_bi.pdf" </w:instrText>
      </w:r>
      <w:r w:rsidR="00F04301">
        <w:fldChar w:fldCharType="separate"/>
      </w:r>
      <w:proofErr w:type="spellStart"/>
      <w:r w:rsidRPr="0040640C">
        <w:rPr>
          <w:rStyle w:val="Hipervnculo"/>
          <w:smallCaps/>
          <w:lang w:val="en-US"/>
        </w:rPr>
        <w:t>Aicpa</w:t>
      </w:r>
      <w:proofErr w:type="spellEnd"/>
      <w:r w:rsidR="00F04301">
        <w:rPr>
          <w:rStyle w:val="Hipervnculo"/>
          <w:smallCaps/>
          <w:lang w:val="en-US"/>
        </w:rPr>
        <w:fldChar w:fldCharType="end"/>
      </w:r>
      <w:r w:rsidRPr="0040640C">
        <w:rPr>
          <w:lang w:val="en-US"/>
        </w:rPr>
        <w:t xml:space="preserve"> “</w:t>
      </w:r>
      <w:r w:rsidRPr="00E73BB9">
        <w:rPr>
          <w:i/>
          <w:lang w:val="en-US"/>
        </w:rPr>
        <w:t xml:space="preserve">Historically, a primary function of CPAs has been to perform procedures that influence a user’s confidence in information used for decision-making. </w:t>
      </w:r>
      <w:r w:rsidRPr="00E73BB9">
        <w:rPr>
          <w:i/>
          <w:lang w:val="en-US"/>
        </w:rPr>
        <w:t>From the profession’s 19th century founding, CPAs have been concerned with developing useful financial information</w:t>
      </w:r>
      <w:r w:rsidR="00E73BB9">
        <w:rPr>
          <w:i/>
          <w:lang w:val="en-US"/>
        </w:rPr>
        <w:t>, and testing its reliability. T</w:t>
      </w:r>
      <w:r w:rsidRPr="00E73BB9">
        <w:rPr>
          <w:i/>
          <w:lang w:val="en-US"/>
        </w:rPr>
        <w:t>he range of information subject to CPA services has expanded far beyond financial statements over the years, as have the types of services themselves</w:t>
      </w:r>
      <w:r w:rsidRPr="0040640C">
        <w:rPr>
          <w:lang w:val="en-US"/>
        </w:rPr>
        <w:t>.</w:t>
      </w:r>
      <w:r>
        <w:rPr>
          <w:lang w:val="en-US"/>
        </w:rPr>
        <w:t xml:space="preserve"> (…)”</w:t>
      </w:r>
    </w:p>
    <w:p w14:paraId="1CFC3FC3" w14:textId="66FC4857" w:rsidR="00E73BB9" w:rsidRDefault="00E73BB9" w:rsidP="00875C7D">
      <w:r w:rsidRPr="00E73BB9">
        <w:t>Así las cosas, hoy la profesi</w:t>
      </w:r>
      <w:r>
        <w:t>ón tiene un género: los acuerdos, encargos o servicios de aseguramiento. Estos se dividen en dos grandes grupos: los que versan sobre información financiera histórica y los que tratan sobre otro tipo de información.</w:t>
      </w:r>
    </w:p>
    <w:p w14:paraId="77701B54" w14:textId="1453B93C" w:rsidR="00E73BB9" w:rsidRDefault="00E73BB9" w:rsidP="00875C7D">
      <w:pPr>
        <w:rPr>
          <w:i/>
        </w:rPr>
      </w:pPr>
      <w:bookmarkStart w:id="0" w:name="_GoBack"/>
      <w:r>
        <w:t>Los informes sobre el cumplimiento de disposiciones o sobre el control interno no corresponden a trabajos sobre información financiera histórica</w:t>
      </w:r>
      <w:bookmarkEnd w:id="0"/>
      <w:r>
        <w:t xml:space="preserve">. Por ello el trabajo que da lugar a ellos debe ejecutarse aplicando la </w:t>
      </w:r>
      <w:hyperlink r:id="rId9" w:history="1">
        <w:r w:rsidRPr="00E73BB9">
          <w:rPr>
            <w:rStyle w:val="Hipervnculo"/>
            <w:i/>
          </w:rPr>
          <w:t xml:space="preserve">International Standard </w:t>
        </w:r>
        <w:proofErr w:type="spellStart"/>
        <w:r w:rsidRPr="00E73BB9">
          <w:rPr>
            <w:rStyle w:val="Hipervnculo"/>
            <w:i/>
          </w:rPr>
          <w:t>on</w:t>
        </w:r>
        <w:proofErr w:type="spellEnd"/>
        <w:r w:rsidRPr="00E73BB9">
          <w:rPr>
            <w:rStyle w:val="Hipervnculo"/>
            <w:i/>
          </w:rPr>
          <w:t xml:space="preserve"> </w:t>
        </w:r>
        <w:proofErr w:type="spellStart"/>
        <w:r w:rsidRPr="00E73BB9">
          <w:rPr>
            <w:rStyle w:val="Hipervnculo"/>
            <w:i/>
          </w:rPr>
          <w:t>Assurance</w:t>
        </w:r>
        <w:proofErr w:type="spellEnd"/>
        <w:r w:rsidRPr="00E73BB9">
          <w:rPr>
            <w:rStyle w:val="Hipervnculo"/>
            <w:i/>
          </w:rPr>
          <w:t xml:space="preserve"> </w:t>
        </w:r>
        <w:proofErr w:type="spellStart"/>
        <w:r w:rsidRPr="00E73BB9">
          <w:rPr>
            <w:rStyle w:val="Hipervnculo"/>
            <w:i/>
          </w:rPr>
          <w:t>Engagements</w:t>
        </w:r>
        <w:proofErr w:type="spellEnd"/>
        <w:r w:rsidRPr="00E73BB9">
          <w:rPr>
            <w:rStyle w:val="Hipervnculo"/>
            <w:i/>
          </w:rPr>
          <w:t xml:space="preserve"> (ISAE) 3000 </w:t>
        </w:r>
        <w:proofErr w:type="spellStart"/>
        <w:r w:rsidRPr="00E73BB9">
          <w:rPr>
            <w:rStyle w:val="Hipervnculo"/>
            <w:i/>
          </w:rPr>
          <w:t>Revised</w:t>
        </w:r>
        <w:proofErr w:type="spellEnd"/>
        <w:r w:rsidRPr="00E73BB9">
          <w:rPr>
            <w:rStyle w:val="Hipervnculo"/>
            <w:i/>
          </w:rPr>
          <w:t xml:space="preserve">, </w:t>
        </w:r>
        <w:proofErr w:type="spellStart"/>
        <w:r w:rsidRPr="00E73BB9">
          <w:rPr>
            <w:rStyle w:val="Hipervnculo"/>
            <w:i/>
          </w:rPr>
          <w:t>Assurance</w:t>
        </w:r>
        <w:proofErr w:type="spellEnd"/>
        <w:r w:rsidRPr="00E73BB9">
          <w:rPr>
            <w:rStyle w:val="Hipervnculo"/>
            <w:i/>
          </w:rPr>
          <w:t xml:space="preserve"> </w:t>
        </w:r>
        <w:proofErr w:type="spellStart"/>
        <w:r w:rsidRPr="00E73BB9">
          <w:rPr>
            <w:rStyle w:val="Hipervnculo"/>
            <w:i/>
          </w:rPr>
          <w:t>Engagements</w:t>
        </w:r>
        <w:proofErr w:type="spellEnd"/>
        <w:r w:rsidRPr="00E73BB9">
          <w:rPr>
            <w:rStyle w:val="Hipervnculo"/>
            <w:i/>
          </w:rPr>
          <w:t xml:space="preserve"> </w:t>
        </w:r>
        <w:proofErr w:type="spellStart"/>
        <w:r w:rsidRPr="00E73BB9">
          <w:rPr>
            <w:rStyle w:val="Hipervnculo"/>
            <w:i/>
          </w:rPr>
          <w:t>Other</w:t>
        </w:r>
        <w:proofErr w:type="spellEnd"/>
        <w:r w:rsidRPr="00E73BB9">
          <w:rPr>
            <w:rStyle w:val="Hipervnculo"/>
            <w:i/>
          </w:rPr>
          <w:t xml:space="preserve"> </w:t>
        </w:r>
        <w:proofErr w:type="spellStart"/>
        <w:r w:rsidRPr="00E73BB9">
          <w:rPr>
            <w:rStyle w:val="Hipervnculo"/>
            <w:i/>
          </w:rPr>
          <w:t>than</w:t>
        </w:r>
        <w:proofErr w:type="spellEnd"/>
        <w:r w:rsidRPr="00E73BB9">
          <w:rPr>
            <w:rStyle w:val="Hipervnculo"/>
            <w:i/>
          </w:rPr>
          <w:t xml:space="preserve"> </w:t>
        </w:r>
        <w:proofErr w:type="spellStart"/>
        <w:r w:rsidRPr="00E73BB9">
          <w:rPr>
            <w:rStyle w:val="Hipervnculo"/>
            <w:i/>
          </w:rPr>
          <w:t>Audits</w:t>
        </w:r>
        <w:proofErr w:type="spellEnd"/>
        <w:r w:rsidRPr="00E73BB9">
          <w:rPr>
            <w:rStyle w:val="Hipervnculo"/>
            <w:i/>
          </w:rPr>
          <w:t xml:space="preserve"> </w:t>
        </w:r>
        <w:proofErr w:type="spellStart"/>
        <w:r w:rsidRPr="00E73BB9">
          <w:rPr>
            <w:rStyle w:val="Hipervnculo"/>
            <w:i/>
          </w:rPr>
          <w:t>or</w:t>
        </w:r>
        <w:proofErr w:type="spellEnd"/>
        <w:r w:rsidRPr="00E73BB9">
          <w:rPr>
            <w:rStyle w:val="Hipervnculo"/>
            <w:i/>
          </w:rPr>
          <w:t xml:space="preserve"> </w:t>
        </w:r>
        <w:proofErr w:type="spellStart"/>
        <w:r w:rsidRPr="00E73BB9">
          <w:rPr>
            <w:rStyle w:val="Hipervnculo"/>
            <w:i/>
          </w:rPr>
          <w:t>Reviews</w:t>
        </w:r>
        <w:proofErr w:type="spellEnd"/>
        <w:r w:rsidRPr="00E73BB9">
          <w:rPr>
            <w:rStyle w:val="Hipervnculo"/>
            <w:i/>
          </w:rPr>
          <w:t xml:space="preserve"> </w:t>
        </w:r>
        <w:proofErr w:type="spellStart"/>
        <w:r w:rsidRPr="00E73BB9">
          <w:rPr>
            <w:rStyle w:val="Hipervnculo"/>
            <w:i/>
          </w:rPr>
          <w:t>of</w:t>
        </w:r>
        <w:proofErr w:type="spellEnd"/>
        <w:r w:rsidRPr="00E73BB9">
          <w:rPr>
            <w:rStyle w:val="Hipervnculo"/>
            <w:i/>
          </w:rPr>
          <w:t xml:space="preserve"> </w:t>
        </w:r>
        <w:proofErr w:type="spellStart"/>
        <w:r w:rsidRPr="00E73BB9">
          <w:rPr>
            <w:rStyle w:val="Hipervnculo"/>
            <w:i/>
          </w:rPr>
          <w:t>Historical</w:t>
        </w:r>
        <w:proofErr w:type="spellEnd"/>
        <w:r w:rsidRPr="00E73BB9">
          <w:rPr>
            <w:rStyle w:val="Hipervnculo"/>
            <w:i/>
          </w:rPr>
          <w:t xml:space="preserve"> Financial </w:t>
        </w:r>
        <w:proofErr w:type="spellStart"/>
        <w:r w:rsidRPr="00E73BB9">
          <w:rPr>
            <w:rStyle w:val="Hipervnculo"/>
            <w:i/>
          </w:rPr>
          <w:t>Information</w:t>
        </w:r>
        <w:proofErr w:type="spellEnd"/>
      </w:hyperlink>
      <w:r>
        <w:rPr>
          <w:i/>
        </w:rPr>
        <w:t>.</w:t>
      </w:r>
    </w:p>
    <w:p w14:paraId="6AF5DD34" w14:textId="7FFB784A" w:rsidR="00E73BB9" w:rsidRDefault="00E73BB9" w:rsidP="00875C7D">
      <w:r>
        <w:t xml:space="preserve">Ahora bien: Todos los servicios de aseguramiento utilizan la teoría de riesgos. En todos se evalúan los peligros de inobservancia de criterios. Cuando </w:t>
      </w:r>
      <w:r w:rsidR="0017363D">
        <w:t>ellos</w:t>
      </w:r>
      <w:r>
        <w:t xml:space="preserve"> se han identificado se examina si existen controles adecuados para contrarrestar</w:t>
      </w:r>
      <w:r w:rsidR="0017363D">
        <w:t>los</w:t>
      </w:r>
      <w:r>
        <w:t xml:space="preserve">. </w:t>
      </w:r>
      <w:r w:rsidR="0017363D">
        <w:t>Si los hay, esta información se documenta y se destina a ser parte de la evidencia que se considerará al terminar el trabajo. Si no hay controles o no son eficaces, el profesional hace pruebas adicionales para establecer si los criterios se han desconocido. Finalmente se considera toda la información y se concluye, expresándolo en un informe.</w:t>
      </w:r>
    </w:p>
    <w:p w14:paraId="6D42AD0F" w14:textId="5F1802D8" w:rsidR="0017363D" w:rsidRPr="0017363D" w:rsidRDefault="0017363D" w:rsidP="0017363D">
      <w:pPr>
        <w:jc w:val="right"/>
        <w:rPr>
          <w:i/>
        </w:rPr>
      </w:pPr>
      <w:r w:rsidRPr="0017363D">
        <w:rPr>
          <w:i/>
        </w:rPr>
        <w:t>Hernando Bermúdez Gómez</w:t>
      </w:r>
    </w:p>
    <w:sectPr w:rsidR="0017363D" w:rsidRPr="0017363D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BE589" w14:textId="77777777" w:rsidR="00F04301" w:rsidRDefault="00F04301" w:rsidP="00EE7812">
      <w:pPr>
        <w:spacing w:after="0" w:line="240" w:lineRule="auto"/>
      </w:pPr>
      <w:r>
        <w:separator/>
      </w:r>
    </w:p>
  </w:endnote>
  <w:endnote w:type="continuationSeparator" w:id="0">
    <w:p w14:paraId="7BD0193D" w14:textId="77777777" w:rsidR="00F04301" w:rsidRDefault="00F0430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68946" w14:textId="77777777" w:rsidR="00F04301" w:rsidRDefault="00F04301" w:rsidP="00EE7812">
      <w:pPr>
        <w:spacing w:after="0" w:line="240" w:lineRule="auto"/>
      </w:pPr>
      <w:r>
        <w:separator/>
      </w:r>
    </w:p>
  </w:footnote>
  <w:footnote w:type="continuationSeparator" w:id="0">
    <w:p w14:paraId="52681AA1" w14:textId="77777777" w:rsidR="00F04301" w:rsidRDefault="00F0430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30DFC29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FB1206">
      <w:t>6</w:t>
    </w:r>
    <w:r w:rsidR="006E3C68">
      <w:t>4</w:t>
    </w:r>
    <w:r w:rsidR="00506ECE">
      <w:t>4</w:t>
    </w:r>
    <w:r w:rsidR="00F23D44">
      <w:t xml:space="preserve">, </w:t>
    </w:r>
    <w:r w:rsidR="00374D89">
      <w:t>14</w:t>
    </w:r>
    <w:r w:rsidR="00E13666">
      <w:t xml:space="preserve"> de </w:t>
    </w:r>
    <w:r w:rsidR="004D4BD7">
      <w:t>octubre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F043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59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4F7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A7"/>
    <w:rsid w:val="00075B1A"/>
    <w:rsid w:val="00075B3A"/>
    <w:rsid w:val="00075BE1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0F2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24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B8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ADF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CE"/>
    <w:rsid w:val="001837DE"/>
    <w:rsid w:val="00183CBD"/>
    <w:rsid w:val="00183CE3"/>
    <w:rsid w:val="00183E34"/>
    <w:rsid w:val="00183E97"/>
    <w:rsid w:val="00183E98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7FB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AFF"/>
    <w:rsid w:val="00231C68"/>
    <w:rsid w:val="00231CEA"/>
    <w:rsid w:val="00231D3B"/>
    <w:rsid w:val="00232052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C65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6C9"/>
    <w:rsid w:val="00277739"/>
    <w:rsid w:val="00277789"/>
    <w:rsid w:val="0027794F"/>
    <w:rsid w:val="00277A0A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B8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4F"/>
    <w:rsid w:val="003B2EBF"/>
    <w:rsid w:val="003B3097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7AC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B69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0C7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1F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9DD"/>
    <w:rsid w:val="00580C2D"/>
    <w:rsid w:val="00580C3D"/>
    <w:rsid w:val="00580CA5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886"/>
    <w:rsid w:val="005A29E2"/>
    <w:rsid w:val="005A2A51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C"/>
    <w:rsid w:val="005F66DF"/>
    <w:rsid w:val="005F67A6"/>
    <w:rsid w:val="005F682A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06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3C3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3FD"/>
    <w:rsid w:val="007B2428"/>
    <w:rsid w:val="007B2459"/>
    <w:rsid w:val="007B24AC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3AA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B00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DD6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1C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DA7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127"/>
    <w:rsid w:val="00956140"/>
    <w:rsid w:val="0095620F"/>
    <w:rsid w:val="00956477"/>
    <w:rsid w:val="0095672C"/>
    <w:rsid w:val="009567B3"/>
    <w:rsid w:val="009567BB"/>
    <w:rsid w:val="009567FB"/>
    <w:rsid w:val="009568F4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1E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537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B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A4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A8E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1AC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C00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660"/>
    <w:rsid w:val="00B02682"/>
    <w:rsid w:val="00B02722"/>
    <w:rsid w:val="00B02898"/>
    <w:rsid w:val="00B0292C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5D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77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738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756"/>
    <w:rsid w:val="00C14777"/>
    <w:rsid w:val="00C147AD"/>
    <w:rsid w:val="00C14810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123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99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AB7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0C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81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CC"/>
    <w:rsid w:val="00DE446D"/>
    <w:rsid w:val="00DE44B2"/>
    <w:rsid w:val="00DE4688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06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01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7F"/>
    <w:rsid w:val="00F70254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31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6F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Decretos/300302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aasb.org/publications-resources/international-standard-assurance-engagements-isae-3000-revised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C9AF-C547-4D53-B19C-3B952023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3497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2019-10-13T17:48:00Z</dcterms:created>
  <dcterms:modified xsi:type="dcterms:W3CDTF">2019-10-13T17:48:00Z</dcterms:modified>
</cp:coreProperties>
</file>