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B2756" w14:textId="03C1E673" w:rsidR="00F87C76" w:rsidRPr="00F87C76" w:rsidRDefault="00F87C76" w:rsidP="00F87C7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F87C76">
        <w:rPr>
          <w:position w:val="-7"/>
          <w:sz w:val="120"/>
        </w:rPr>
        <w:t>S</w:t>
      </w:r>
    </w:p>
    <w:p w14:paraId="1C6A8FCE" w14:textId="271D4537" w:rsidR="00040544" w:rsidRDefault="00F87C76" w:rsidP="00F87C76">
      <w:r>
        <w:t xml:space="preserve">egún el </w:t>
      </w:r>
      <w:hyperlink r:id="rId8" w:history="1">
        <w:r w:rsidRPr="00F87C76">
          <w:rPr>
            <w:rStyle w:val="Hipervnculo"/>
          </w:rPr>
          <w:t>comunicado 45 correspondiente al 13 y 14 de noviembre</w:t>
        </w:r>
      </w:hyperlink>
      <w:r>
        <w:t xml:space="preserve"> la Corte Constitucional reiteró: “(…) </w:t>
      </w:r>
      <w:r w:rsidRPr="00F87C76">
        <w:rPr>
          <w:i/>
          <w:iCs/>
        </w:rPr>
        <w:t>que los terceros proveedores de bienes y servicios entre los cuales se hallan revisores fiscales y contadores, que hubiesen procedido de buena fe en el ámbito de sus actividades lícitas ordinarias o habituales, no son sujetos de intervención por parte de la Superintendencia de Sociedades, dado que las actividades y operaciones que esta vigila no puede extender responsabilidad a terceros de buena fe distintos de quienes entregaron recursos, v. gr. empleados y proveedores, que en ejercicio del derecho al trabajo o la libertad de empresa (arts. 25 y 333 Const.), o de sus actividades económicas correctas, legítimamente proveyeron bienes y/o servicios a los captadores o recaudadores en operaciones no autorizadas</w:t>
      </w:r>
      <w:r w:rsidRPr="00F87C76">
        <w:t>.</w:t>
      </w:r>
      <w:r>
        <w:t>”</w:t>
      </w:r>
    </w:p>
    <w:p w14:paraId="6427830E" w14:textId="77777777" w:rsidR="001B097A" w:rsidRDefault="001B097A" w:rsidP="00F87C76">
      <w:r>
        <w:t>Desde las decisiones absurdas de la Superintendencia de Sociedades nos opusimos a ellas. Aunque esta entidad revocó la medida de liquidación judicial, decidió mantener bajo intervención sumas de dinero, que se entendía habían sido recibidas a título de honorarios de las sociedades acusadas de captación masiva y habitual. Nunca hemos estado de acuerdo con esta segunda medida. Esperamos que ahora sí dicha superintendencia revoque íntegramente sus decisiones.</w:t>
      </w:r>
    </w:p>
    <w:p w14:paraId="28F50C59" w14:textId="22A0BF81" w:rsidR="00F87C76" w:rsidRDefault="001B097A" w:rsidP="00F87C76">
      <w:r>
        <w:t xml:space="preserve">Esta situación nos permite reiterar: </w:t>
      </w:r>
      <w:r w:rsidR="00F75A1E">
        <w:t>hay una lectura equivocada de la revisoría fiscal que tiene que ser cambiada. Para lograrlo hay que modernizar su regulación y acerca</w:t>
      </w:r>
      <w:r w:rsidR="003C75BB">
        <w:t>rla</w:t>
      </w:r>
      <w:r w:rsidR="00F75A1E">
        <w:t xml:space="preserve"> aún más a los cánones profesionales. La </w:t>
      </w:r>
      <w:r w:rsidR="00F75A1E">
        <w:t>reiteración de los textos actuales no contribuiría a este propósito.</w:t>
      </w:r>
    </w:p>
    <w:p w14:paraId="65234667" w14:textId="0BDF87D1" w:rsidR="00F75A1E" w:rsidRDefault="00F75A1E" w:rsidP="00F87C76">
      <w:r>
        <w:t xml:space="preserve">Todos los contadores, así actúen como preparadores, asesores o aseguradores, deben vigilar que sus clientes no incurran en captación masiva y habitual, la cual fue reglamentada por el </w:t>
      </w:r>
      <w:hyperlink r:id="rId9" w:history="1">
        <w:r w:rsidRPr="003C75BB">
          <w:rPr>
            <w:rStyle w:val="Hipervnculo"/>
          </w:rPr>
          <w:t xml:space="preserve">Decreto </w:t>
        </w:r>
        <w:r w:rsidR="003C75BB" w:rsidRPr="003C75BB">
          <w:rPr>
            <w:rStyle w:val="Hipervnculo"/>
          </w:rPr>
          <w:t>3227 de 1982</w:t>
        </w:r>
      </w:hyperlink>
      <w:r w:rsidR="003C75BB">
        <w:t>. Recomendamos incluir la verificación correspondiente en todos los trabajos y realizarla trimestralmente.</w:t>
      </w:r>
    </w:p>
    <w:p w14:paraId="196A0923" w14:textId="118448C5" w:rsidR="003C75BB" w:rsidRDefault="003C75BB" w:rsidP="00F87C76">
      <w:r>
        <w:t xml:space="preserve">Es innegable que los contadores, cualquiera sea su práctica, deben apoyar a las autoridades dándoles a conocer las conductas que </w:t>
      </w:r>
      <w:r w:rsidR="00A00D2C">
        <w:t xml:space="preserve">puedan consistir en acciones previstas, es decir tipificadas, por el derecho punitivo colombiano. Esto quedó muy claro en el artículo 32 de la </w:t>
      </w:r>
      <w:hyperlink r:id="rId10" w:history="1">
        <w:r w:rsidR="00A00D2C" w:rsidRPr="00A00D2C">
          <w:rPr>
            <w:rStyle w:val="Hipervnculo"/>
          </w:rPr>
          <w:t>Ley 1778 de 2016</w:t>
        </w:r>
      </w:hyperlink>
      <w:r w:rsidR="00A00D2C">
        <w:t xml:space="preserve">. </w:t>
      </w:r>
      <w:proofErr w:type="spellStart"/>
      <w:r w:rsidR="00A00D2C" w:rsidRPr="00A00D2C">
        <w:rPr>
          <w:lang w:val="en-US"/>
        </w:rPr>
        <w:t>Según</w:t>
      </w:r>
      <w:proofErr w:type="spellEnd"/>
      <w:r w:rsidR="00A00D2C" w:rsidRPr="00A00D2C">
        <w:rPr>
          <w:lang w:val="en-US"/>
        </w:rPr>
        <w:t xml:space="preserve"> el </w:t>
      </w:r>
      <w:hyperlink r:id="rId11" w:history="1">
        <w:r w:rsidR="00A00D2C" w:rsidRPr="00C1275A">
          <w:rPr>
            <w:rStyle w:val="Hipervnculo"/>
            <w:lang w:val="en-US"/>
          </w:rPr>
          <w:t>personal de planta de IESBA</w:t>
        </w:r>
      </w:hyperlink>
      <w:r w:rsidR="00A00D2C" w:rsidRPr="00A00D2C">
        <w:rPr>
          <w:lang w:val="en-US"/>
        </w:rPr>
        <w:t xml:space="preserve"> </w:t>
      </w:r>
      <w:proofErr w:type="spellStart"/>
      <w:r w:rsidR="00A00D2C" w:rsidRPr="00A00D2C">
        <w:rPr>
          <w:lang w:val="en-US"/>
        </w:rPr>
        <w:t>todos</w:t>
      </w:r>
      <w:proofErr w:type="spellEnd"/>
      <w:r w:rsidR="00A00D2C" w:rsidRPr="00A00D2C">
        <w:rPr>
          <w:lang w:val="en-US"/>
        </w:rPr>
        <w:t xml:space="preserve"> los </w:t>
      </w:r>
      <w:proofErr w:type="spellStart"/>
      <w:r w:rsidR="00A00D2C" w:rsidRPr="00A00D2C">
        <w:rPr>
          <w:lang w:val="en-US"/>
        </w:rPr>
        <w:t>contadores</w:t>
      </w:r>
      <w:proofErr w:type="spellEnd"/>
      <w:r w:rsidR="00A00D2C" w:rsidRPr="00A00D2C">
        <w:rPr>
          <w:lang w:val="en-US"/>
        </w:rPr>
        <w:t xml:space="preserve"> </w:t>
      </w:r>
      <w:proofErr w:type="spellStart"/>
      <w:r w:rsidR="00A00D2C" w:rsidRPr="00A00D2C">
        <w:rPr>
          <w:lang w:val="en-US"/>
        </w:rPr>
        <w:t>deben</w:t>
      </w:r>
      <w:proofErr w:type="spellEnd"/>
      <w:r w:rsidR="00A00D2C" w:rsidRPr="00A00D2C">
        <w:rPr>
          <w:lang w:val="en-US"/>
        </w:rPr>
        <w:t xml:space="preserve"> </w:t>
      </w:r>
      <w:proofErr w:type="spellStart"/>
      <w:r w:rsidR="00A00D2C" w:rsidRPr="00A00D2C">
        <w:rPr>
          <w:lang w:val="en-US"/>
        </w:rPr>
        <w:t>avisar</w:t>
      </w:r>
      <w:proofErr w:type="spellEnd"/>
      <w:r w:rsidR="00A00D2C" w:rsidRPr="00A00D2C">
        <w:rPr>
          <w:lang w:val="en-US"/>
        </w:rPr>
        <w:t xml:space="preserve"> de los </w:t>
      </w:r>
      <w:proofErr w:type="spellStart"/>
      <w:r w:rsidR="00A00D2C" w:rsidRPr="00A00D2C">
        <w:rPr>
          <w:lang w:val="en-US"/>
        </w:rPr>
        <w:t>actos</w:t>
      </w:r>
      <w:proofErr w:type="spellEnd"/>
      <w:r w:rsidR="00A00D2C" w:rsidRPr="00A00D2C">
        <w:rPr>
          <w:lang w:val="en-US"/>
        </w:rPr>
        <w:t xml:space="preserve"> </w:t>
      </w:r>
      <w:proofErr w:type="spellStart"/>
      <w:r w:rsidR="00A00D2C" w:rsidRPr="00A00D2C">
        <w:rPr>
          <w:lang w:val="en-US"/>
        </w:rPr>
        <w:t>indebidos</w:t>
      </w:r>
      <w:proofErr w:type="spellEnd"/>
      <w:r w:rsidR="00A00D2C" w:rsidRPr="00A00D2C">
        <w:rPr>
          <w:lang w:val="en-US"/>
        </w:rPr>
        <w:t xml:space="preserve">: </w:t>
      </w:r>
      <w:r w:rsidR="00C1275A" w:rsidRPr="00C1275A">
        <w:rPr>
          <w:i/>
          <w:iCs/>
          <w:lang w:val="en-US"/>
        </w:rPr>
        <w:t>“</w:t>
      </w:r>
      <w:r w:rsidR="00A00D2C" w:rsidRPr="00C1275A">
        <w:rPr>
          <w:i/>
          <w:iCs/>
          <w:lang w:val="en-US"/>
        </w:rPr>
        <w:t>• Laws and regulations with direct effect on material amounts/disclosures in the financial statements • Other laws and regulations that may be fundamental to entity’s business and operations • No distinction between public interest entities (PIEs) and non-PIEs • Personal misconduct and clearly inconsequential matters excluded</w:t>
      </w:r>
      <w:r w:rsidR="00C1275A">
        <w:rPr>
          <w:lang w:val="en-US"/>
        </w:rPr>
        <w:t xml:space="preserve">”. </w:t>
      </w:r>
      <w:r w:rsidR="00C1275A" w:rsidRPr="00C1275A">
        <w:t>El llamado NOCLAR no deja lugar a la duda. El c</w:t>
      </w:r>
      <w:r w:rsidR="00C1275A">
        <w:t>ompromiso de los profesionales de la contabilidad para luchar contra la corrupción y la delincuencia es mundial y general. La confidencia no es motivo válido para callarse. El silencio bien podría ser una forma de complicidad.</w:t>
      </w:r>
      <w:r w:rsidR="00E0741C">
        <w:t xml:space="preserve"> Tiene que ser así debido a los intereses públicos, al orden público y al bien común.</w:t>
      </w:r>
    </w:p>
    <w:p w14:paraId="1AE86431" w14:textId="006E1822" w:rsidR="00E0741C" w:rsidRPr="00C1275A" w:rsidRDefault="00E0741C" w:rsidP="00E0741C">
      <w:pPr>
        <w:jc w:val="right"/>
      </w:pPr>
      <w:r w:rsidRPr="006D3148">
        <w:rPr>
          <w:i/>
          <w:iCs/>
        </w:rPr>
        <w:t>Hernando Bermúdez Gómez</w:t>
      </w:r>
    </w:p>
    <w:sectPr w:rsidR="00E0741C" w:rsidRPr="00C1275A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D3E19" w14:textId="77777777" w:rsidR="00770CF3" w:rsidRDefault="00770CF3" w:rsidP="00EE7812">
      <w:pPr>
        <w:spacing w:after="0" w:line="240" w:lineRule="auto"/>
      </w:pPr>
      <w:r>
        <w:separator/>
      </w:r>
    </w:p>
  </w:endnote>
  <w:endnote w:type="continuationSeparator" w:id="0">
    <w:p w14:paraId="25BE37B8" w14:textId="77777777" w:rsidR="00770CF3" w:rsidRDefault="00770CF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66281" w14:textId="77777777" w:rsidR="00770CF3" w:rsidRDefault="00770CF3" w:rsidP="00EE7812">
      <w:pPr>
        <w:spacing w:after="0" w:line="240" w:lineRule="auto"/>
      </w:pPr>
      <w:r>
        <w:separator/>
      </w:r>
    </w:p>
  </w:footnote>
  <w:footnote w:type="continuationSeparator" w:id="0">
    <w:p w14:paraId="082B8BD7" w14:textId="77777777" w:rsidR="00770CF3" w:rsidRDefault="00770CF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BF4CBE5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A15EB7">
      <w:t>7</w:t>
    </w:r>
    <w:r w:rsidR="00D9301D">
      <w:t>4</w:t>
    </w:r>
    <w:r w:rsidR="00F87C76">
      <w:t>1</w:t>
    </w:r>
    <w:r w:rsidR="001245EC">
      <w:t xml:space="preserve">, </w:t>
    </w:r>
    <w:r w:rsidR="00F41325">
      <w:t>25</w:t>
    </w:r>
    <w:r w:rsidR="00E13666">
      <w:t xml:space="preserve"> de </w:t>
    </w:r>
    <w:r w:rsidR="00625C4A">
      <w:t>noviembre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770CF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678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96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675"/>
    <w:rsid w:val="003176A2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78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CF3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1DB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60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E8"/>
    <w:rsid w:val="00B663D6"/>
    <w:rsid w:val="00B663D9"/>
    <w:rsid w:val="00B66405"/>
    <w:rsid w:val="00B664BB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2E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63"/>
    <w:rsid w:val="00F075F2"/>
    <w:rsid w:val="00F076BC"/>
    <w:rsid w:val="00F077EE"/>
    <w:rsid w:val="00F078D4"/>
    <w:rsid w:val="00F078DF"/>
    <w:rsid w:val="00F07981"/>
    <w:rsid w:val="00F079E3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8E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teconstitucional.gov.co/comunicados/No.%2045%20comunicado%2013%20y%2014%20de%20noviembre%20de%202019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ac.org/system/files/publications/files/NOCLAR-Overview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javeriana.edu.co/personales/hbermude/leycontable/contadores/2016-ley-177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id=15206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972C-1DCB-44E1-B508-AE93F5BF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2019-11-23T17:19:00Z</dcterms:created>
  <dcterms:modified xsi:type="dcterms:W3CDTF">2019-11-23T17:19:00Z</dcterms:modified>
</cp:coreProperties>
</file>