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FC85" w14:textId="1613BE60" w:rsidR="00195744" w:rsidRPr="00195744" w:rsidRDefault="00195744" w:rsidP="0019574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195744">
        <w:rPr>
          <w:position w:val="-8"/>
          <w:sz w:val="122"/>
        </w:rPr>
        <w:t>A</w:t>
      </w:r>
    </w:p>
    <w:p w14:paraId="73F874F9" w14:textId="25B34695" w:rsidR="006D45EB" w:rsidRDefault="00195744" w:rsidP="00966B92">
      <w:r>
        <w:t xml:space="preserve"> poco tiempo de la expedición del Código de ética para los profesionales de la contabilidad, IESBA ha iniciado un proyecto para hacer ajustes a los estándares de independencia.</w:t>
      </w:r>
    </w:p>
    <w:p w14:paraId="69A78ACF" w14:textId="5B6DB0C3" w:rsidR="00195744" w:rsidRDefault="00195744" w:rsidP="00195744">
      <w:r>
        <w:t xml:space="preserve">Según el respectivo </w:t>
      </w:r>
      <w:hyperlink r:id="rId8" w:history="1">
        <w:r w:rsidRPr="00195744">
          <w:rPr>
            <w:rStyle w:val="Hipervnculo"/>
          </w:rPr>
          <w:t>comunicado de prensa</w:t>
        </w:r>
      </w:hyperlink>
      <w:r>
        <w:t xml:space="preserve">, “(…) </w:t>
      </w:r>
      <w:r w:rsidRPr="00195744">
        <w:rPr>
          <w:i/>
        </w:rPr>
        <w:t xml:space="preserve">Durante el seminario web del 17 marzo, el Presidente del Grupo de Trabajo de NAS, Sr. Richard </w:t>
      </w:r>
      <w:proofErr w:type="spellStart"/>
      <w:r w:rsidRPr="00195744">
        <w:rPr>
          <w:i/>
        </w:rPr>
        <w:t>Fleck</w:t>
      </w:r>
      <w:proofErr w:type="spellEnd"/>
      <w:r w:rsidRPr="00195744">
        <w:rPr>
          <w:i/>
        </w:rPr>
        <w:t xml:space="preserve">, explicará las propuestas clave del NAS, incluyendo: ―La prohibición de proporcionar NAS a un cliente de auditoría que es una entidad de interés público (PIE) si se creará una amenaza de auto-revisión a la independencia; ―Mayor endurecimiento de las circunstancias en las que se puede considerar la materialidad para determinar la permisibilidad de un NAS; </w:t>
      </w:r>
      <w:r w:rsidR="00AC4ED3">
        <w:rPr>
          <w:i/>
        </w:rPr>
        <w:t>―</w:t>
      </w:r>
      <w:r w:rsidRPr="00195744">
        <w:rPr>
          <w:i/>
        </w:rPr>
        <w:t>Fortalecimiento las disposiciones relativas a la comunicación de los auditores con los encargados de la gobernanza (</w:t>
      </w:r>
      <w:r w:rsidR="000F6B29" w:rsidRPr="000F6B29">
        <w:rPr>
          <w:i/>
        </w:rPr>
        <w:t>TCWG</w:t>
      </w:r>
      <w:r w:rsidRPr="00195744">
        <w:rPr>
          <w:i/>
        </w:rPr>
        <w:t xml:space="preserve">), incluido, para los PIE, un requisito para la aprobación previa del NAS por TCWG; Y ―Requisitos más estrictos con respecto a la provisión de algunos NAS, incluyendo ciertos asesores fiscales y financieros corporativos. ―Durante el seminario web del 19 de marzo, el Presidente del Grupo de Trabajo de Tasas, Sr. Ian </w:t>
      </w:r>
      <w:proofErr w:type="spellStart"/>
      <w:r w:rsidRPr="00195744">
        <w:rPr>
          <w:i/>
        </w:rPr>
        <w:t>McPhee</w:t>
      </w:r>
      <w:proofErr w:type="spellEnd"/>
      <w:r w:rsidRPr="00195744">
        <w:rPr>
          <w:i/>
        </w:rPr>
        <w:t xml:space="preserve">, explicará los aspectos significativos de las propuestas relacionadas con las tasas que incluyen: ―Prohibición de las empresas que permitan que la tasa de auditoría se vea influida por la prestación de servicios distintos de la auditoría al cliente de auditoría; ―En el caso de los PIE, el requisito de dejar de actuar como auditor si la dependencia de la tasa del cliente de auditoría continúa más allá de un período especificado; Y ―Comunicación de información relacionada con las tasas al </w:t>
      </w:r>
      <w:r w:rsidRPr="00195744">
        <w:rPr>
          <w:i/>
        </w:rPr>
        <w:t>TCWG y al público para ayudar a sus juicios sobre la independencia de los auditores</w:t>
      </w:r>
      <w:r>
        <w:t>. (…)”</w:t>
      </w:r>
    </w:p>
    <w:p w14:paraId="3C1F0252" w14:textId="4914FD63" w:rsidR="00AC4ED3" w:rsidRDefault="00AC4ED3" w:rsidP="00195744">
      <w:r>
        <w:t>El camino a través del cual se brinda independencia en beneficio de la integridad y la objetividad ha sido muy largo. Lo que ha sucedido es un paulatino endurecimiento de las normas.</w:t>
      </w:r>
    </w:p>
    <w:p w14:paraId="4549A9E4" w14:textId="758176FE" w:rsidR="00AC4ED3" w:rsidRDefault="00AC4ED3" w:rsidP="00195744">
      <w:r>
        <w:t>Entre más pequeñas las empresas más probabilidades existen de que los dueños o controlantes sean los administradores de las entidades, resultando muy dif</w:t>
      </w:r>
      <w:r w:rsidR="001C4351">
        <w:t>ícil ser independiente.</w:t>
      </w:r>
    </w:p>
    <w:p w14:paraId="02BEE14B" w14:textId="60866EB2" w:rsidR="008A2173" w:rsidRDefault="008A2173" w:rsidP="00195744">
      <w:r>
        <w:t>Las reglas facilitan al contador respetar el imperativo de la independencia, pero no tie</w:t>
      </w:r>
      <w:r w:rsidR="004C4EA0">
        <w:t>nen la capacidad de garantizarla</w:t>
      </w:r>
      <w:r>
        <w:t xml:space="preserve">. Siempre será necesario un factor interno, es decir, </w:t>
      </w:r>
      <w:r w:rsidR="004C4EA0">
        <w:t>la voluntad de ser libre.</w:t>
      </w:r>
    </w:p>
    <w:p w14:paraId="4B85E210" w14:textId="4853B869" w:rsidR="004C4EA0" w:rsidRDefault="004C4EA0" w:rsidP="00195744">
      <w:r>
        <w:t>El proyecto sigue distinguiendo entre las entidades de interés público y las que no lo son. Las primeras comprenden, pero no se limitan a las sociedades inscritas en alguna bolsa de valores. Algunos piensan que el interés público es un resultado del tamaño de la entidad. Otros pensamos que es más influyente el objeto o empresa que se realiza, como, por ejemplo, la prestación de los servicios de salud o de servicios públicos domiciliarios.</w:t>
      </w:r>
    </w:p>
    <w:p w14:paraId="4ED673E7" w14:textId="5F3637D6" w:rsidR="00FC4A15" w:rsidRDefault="00FC4A15" w:rsidP="00195744">
      <w:r>
        <w:t>La transparencia es fundamental para que los terceros podamos evaluar si hay o no un escenario propicio para la independencia. Parece ser que el servicio que prestan las firmas de auditoría también debería ser calificado como de interés público.</w:t>
      </w:r>
    </w:p>
    <w:p w14:paraId="206C95D0" w14:textId="3A21B398" w:rsidR="00AC4ED3" w:rsidRPr="00966B92" w:rsidRDefault="00FC4A15" w:rsidP="000F6B29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AC4ED3" w:rsidRPr="00966B9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257AC" w14:textId="77777777" w:rsidR="001E1FCC" w:rsidRDefault="001E1FCC" w:rsidP="00EE7812">
      <w:pPr>
        <w:spacing w:after="0" w:line="240" w:lineRule="auto"/>
      </w:pPr>
      <w:r>
        <w:separator/>
      </w:r>
    </w:p>
  </w:endnote>
  <w:endnote w:type="continuationSeparator" w:id="0">
    <w:p w14:paraId="56D4A87D" w14:textId="77777777" w:rsidR="001E1FCC" w:rsidRDefault="001E1F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6318" w14:textId="77777777" w:rsidR="001E1FCC" w:rsidRDefault="001E1FCC" w:rsidP="00EE7812">
      <w:pPr>
        <w:spacing w:after="0" w:line="240" w:lineRule="auto"/>
      </w:pPr>
      <w:r>
        <w:separator/>
      </w:r>
    </w:p>
  </w:footnote>
  <w:footnote w:type="continuationSeparator" w:id="0">
    <w:p w14:paraId="7233808D" w14:textId="77777777" w:rsidR="001E1FCC" w:rsidRDefault="001E1F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BFAB27B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966B92">
      <w:t>910</w:t>
    </w:r>
    <w:r w:rsidR="001245EC">
      <w:t xml:space="preserve">, </w:t>
    </w:r>
    <w:r w:rsidR="009A35FA">
      <w:t>9</w:t>
    </w:r>
    <w:r w:rsidR="00D54F20">
      <w:t xml:space="preserve"> de </w:t>
    </w:r>
    <w:r w:rsidR="00EC1A28">
      <w:t>marzo</w:t>
    </w:r>
    <w:r w:rsidR="00D54F20">
      <w:t xml:space="preserve"> de 2020</w:t>
    </w:r>
  </w:p>
  <w:p w14:paraId="29566F03" w14:textId="77777777" w:rsidR="00F23D44" w:rsidRDefault="001E1FC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3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CC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69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39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6D9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sboard.org/news-events/2020-02/two-iesba-webinars-explain-proposed-revisions-international-independence-stand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D35C-3B18-4EED-99D6-AA72D2D8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2020-03-07T23:57:00Z</dcterms:created>
  <dcterms:modified xsi:type="dcterms:W3CDTF">2020-03-07T23:57:00Z</dcterms:modified>
</cp:coreProperties>
</file>