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907B3" w14:textId="2C185217" w:rsidR="008159F9" w:rsidRPr="008159F9" w:rsidRDefault="008159F9" w:rsidP="008159F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8159F9">
        <w:rPr>
          <w:position w:val="-9"/>
          <w:sz w:val="123"/>
        </w:rPr>
        <w:t>D</w:t>
      </w:r>
    </w:p>
    <w:p w14:paraId="3870308F" w14:textId="48342D64" w:rsidR="00283425" w:rsidRDefault="008159F9" w:rsidP="007A0FD4">
      <w:r>
        <w:t xml:space="preserve">e acuerdo con el artículo 19 del </w:t>
      </w:r>
      <w:hyperlink r:id="rId8" w:history="1">
        <w:r w:rsidRPr="008159F9">
          <w:rPr>
            <w:rStyle w:val="Hipervnculo"/>
          </w:rPr>
          <w:t>Código de Procedimiento Administrativo y de lo Contencioso Administrativo</w:t>
        </w:r>
      </w:hyperlink>
      <w:r>
        <w:t>,”</w:t>
      </w:r>
      <w:r w:rsidRPr="008159F9">
        <w:t xml:space="preserve"> </w:t>
      </w:r>
      <w:r w:rsidRPr="008159F9">
        <w:rPr>
          <w:i/>
          <w:iCs/>
        </w:rPr>
        <w:t>Respecto de peticiones reiterativas ya resueltas, la autoridad podrá remitirse a las respuestas anteriores, salvo que se trate de derechos imprescriptibles, o de peticiones que se hubieren negado por no acreditar requisitos, siempre que en la nueva petición se subsane.</w:t>
      </w:r>
      <w:r>
        <w:t>”</w:t>
      </w:r>
    </w:p>
    <w:p w14:paraId="1A6B26F5" w14:textId="3B5D4B34" w:rsidR="008159F9" w:rsidRDefault="008159F9" w:rsidP="007A0FD4">
      <w:r>
        <w:t>Son muchos los casos en los cuales el Consejo Técnico de la Contaduría Pública le dice a un consultante que su pregunta fue resuelta previamente mediante tales o cuales oficios. Esto podría significar que las personas no leen los conceptos publicados por la entidad, o que prefieren tener una respuesta a su nombre.</w:t>
      </w:r>
    </w:p>
    <w:p w14:paraId="051AE0E3" w14:textId="14D0EFF2" w:rsidR="008159F9" w:rsidRDefault="008159F9" w:rsidP="007A0FD4">
      <w:r>
        <w:t>Como lo hemos afirmado con anterioridad, muchas veces las respuestas precedentes no encajan correctamente en las nuevas preguntas.</w:t>
      </w:r>
      <w:r w:rsidR="0048424A">
        <w:t xml:space="preserve"> A veces se incurre en un exceso al citar doctrina genérica sobre un asunto, cuando el peticionario ha planteado un interrogante concreto.</w:t>
      </w:r>
    </w:p>
    <w:p w14:paraId="2E91C11A" w14:textId="59D79EDD" w:rsidR="0048424A" w:rsidRDefault="0048424A" w:rsidP="007A0FD4">
      <w:r>
        <w:t>El CTCP debería invertir en mejor</w:t>
      </w:r>
      <w:r w:rsidR="00FD2CFA">
        <w:t>ar</w:t>
      </w:r>
      <w:r>
        <w:t xml:space="preserve"> su base de conceptos. Hay muchas reproducciones de muy difícil lectura. Son copias grises, </w:t>
      </w:r>
      <w:r w:rsidR="00FD2CFA">
        <w:t xml:space="preserve">desteñidas, </w:t>
      </w:r>
      <w:r>
        <w:t xml:space="preserve">cuando, de haber sido escaneadas en blanco y negro, o a color, podrían tener una gran </w:t>
      </w:r>
      <w:r w:rsidR="00FD2CFA">
        <w:t>r</w:t>
      </w:r>
      <w:r>
        <w:t>esolución.</w:t>
      </w:r>
      <w:r w:rsidR="00FD2CFA">
        <w:t xml:space="preserve"> Podría asignar etiquetas a cada respuesta, según un tesauro apropiado, que le permitiera a una persona recuperar las respuestas relacionadas con un mismo tema.</w:t>
      </w:r>
    </w:p>
    <w:p w14:paraId="335A1E89" w14:textId="318CD363" w:rsidR="00FD2CFA" w:rsidRDefault="00FD2CFA" w:rsidP="007A0FD4">
      <w:r>
        <w:t xml:space="preserve">Parece que el CTCP no ha tomado nota de la gran importancia de la doctrina. Como se </w:t>
      </w:r>
      <w:r>
        <w:t xml:space="preserve">sabe, esta es una fuente material de Derecho. </w:t>
      </w:r>
      <w:r w:rsidR="008E5020">
        <w:t>Además,</w:t>
      </w:r>
      <w:r>
        <w:t xml:space="preserve"> orienta a los particulares sobre la forma de entender y aplicar las disposiciones jurídicas. Célebre es el trabajo que realizó la Superintendencia de Sociedades, durante los 10 años siguientes a la expedición del Código de Comercio, cuando armonizó muchas disposiciones que parecían contrarias y estableció como actuar frente a disposiciones </w:t>
      </w:r>
      <w:r w:rsidR="008E5020">
        <w:t>opuestas</w:t>
      </w:r>
      <w:r>
        <w:t>.</w:t>
      </w:r>
    </w:p>
    <w:p w14:paraId="02963970" w14:textId="0B34F4F2" w:rsidR="008E5020" w:rsidRDefault="008E5020" w:rsidP="007A0FD4">
      <w:r>
        <w:t xml:space="preserve">Hasta el momento la mayoría de las respuestas son, primordialmente, una reproducción de las normas. Por </w:t>
      </w:r>
      <w:r w:rsidR="002A65A4">
        <w:t>cierto,</w:t>
      </w:r>
      <w:r>
        <w:t xml:space="preserve"> que el acceso a estas en la plataforma del Ministerio de Comercio, Industria y Turismo ha esta</w:t>
      </w:r>
      <w:r w:rsidR="002A65A4">
        <w:t>do</w:t>
      </w:r>
      <w:r>
        <w:t xml:space="preserve"> inhabilitado muchos días.</w:t>
      </w:r>
    </w:p>
    <w:p w14:paraId="09A5AE33" w14:textId="3C6DCC5B" w:rsidR="00F2289B" w:rsidRDefault="00F2289B" w:rsidP="007A0FD4">
      <w:r>
        <w:t>Recientemente anotamos la falta de consideración de las normas especiales, que deben entenderse integradas a las normas generales, las cuales son obligatorias, mientras la doctrina emanada del CTCP no tiene tal virtualidad.</w:t>
      </w:r>
    </w:p>
    <w:p w14:paraId="5B459274" w14:textId="046B4AFD" w:rsidR="00F2289B" w:rsidRDefault="00F2289B" w:rsidP="007A0FD4">
      <w:r>
        <w:t>Los estándares son el producto de investigaciones del personal de planta, de propuestas que son sometidas a votación entre los miembros de los emisores, a la opinión de cualquier interesado y a la aprobación final de dichos emisores. A lo largo d</w:t>
      </w:r>
      <w:r w:rsidR="008C0E33">
        <w:t>e</w:t>
      </w:r>
      <w:r>
        <w:t xml:space="preserve"> </w:t>
      </w:r>
      <w:r w:rsidR="00E4393D">
        <w:t>este</w:t>
      </w:r>
      <w:r>
        <w:t xml:space="preserve"> camino se reúnen gran cantidad de argumentos, que deberían ser aprovechados por el CTCP. Además, en las revistas académicas aparecen muchos artículos en los que se presentan investigaciones que confirman o niegan el fundamento de las disposiciones, en forma que es posible ampliar el discurso.</w:t>
      </w:r>
    </w:p>
    <w:p w14:paraId="65893482" w14:textId="64F7C13E" w:rsidR="008C0E33" w:rsidRPr="008C0E33" w:rsidRDefault="008C0E33" w:rsidP="008C0E33">
      <w:pPr>
        <w:jc w:val="right"/>
        <w:rPr>
          <w:i/>
          <w:iCs/>
        </w:rPr>
      </w:pPr>
      <w:r w:rsidRPr="008C0E33">
        <w:rPr>
          <w:i/>
          <w:iCs/>
        </w:rPr>
        <w:t>Hernando Bermúdez Gómez</w:t>
      </w:r>
    </w:p>
    <w:sectPr w:rsidR="008C0E33" w:rsidRPr="008C0E33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46441" w14:textId="77777777" w:rsidR="008F529F" w:rsidRDefault="008F529F" w:rsidP="00EE7812">
      <w:pPr>
        <w:spacing w:after="0" w:line="240" w:lineRule="auto"/>
      </w:pPr>
      <w:r>
        <w:separator/>
      </w:r>
    </w:p>
  </w:endnote>
  <w:endnote w:type="continuationSeparator" w:id="0">
    <w:p w14:paraId="53193BD9" w14:textId="77777777" w:rsidR="008F529F" w:rsidRDefault="008F529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501E8" w14:textId="77777777" w:rsidR="008F529F" w:rsidRDefault="008F529F" w:rsidP="00EE7812">
      <w:pPr>
        <w:spacing w:after="0" w:line="240" w:lineRule="auto"/>
      </w:pPr>
      <w:r>
        <w:separator/>
      </w:r>
    </w:p>
  </w:footnote>
  <w:footnote w:type="continuationSeparator" w:id="0">
    <w:p w14:paraId="56E0B8BA" w14:textId="77777777" w:rsidR="008F529F" w:rsidRDefault="008F529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3B3E0335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5C7895">
      <w:t>9</w:t>
    </w:r>
    <w:r w:rsidR="00436619">
      <w:t>7</w:t>
    </w:r>
    <w:r w:rsidR="007A0FD4">
      <w:t>9</w:t>
    </w:r>
    <w:r w:rsidR="001245EC">
      <w:t xml:space="preserve">, </w:t>
    </w:r>
    <w:r w:rsidR="00D3737B">
      <w:t>2</w:t>
    </w:r>
    <w:r w:rsidR="007A0FD4">
      <w:t>7</w:t>
    </w:r>
    <w:r w:rsidR="00D54F20">
      <w:t xml:space="preserve"> de </w:t>
    </w:r>
    <w:r w:rsidR="004701B7">
      <w:t>abril</w:t>
    </w:r>
    <w:r w:rsidR="00D54F20">
      <w:t xml:space="preserve"> de 2020</w:t>
    </w:r>
  </w:p>
  <w:p w14:paraId="29566F03" w14:textId="77777777" w:rsidR="00F23D44" w:rsidRDefault="008F529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73A"/>
    <w:rsid w:val="00002892"/>
    <w:rsid w:val="00002919"/>
    <w:rsid w:val="00002A3C"/>
    <w:rsid w:val="00002AAC"/>
    <w:rsid w:val="00002AF6"/>
    <w:rsid w:val="00002B34"/>
    <w:rsid w:val="00002B5A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2E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F2C"/>
    <w:rsid w:val="00053026"/>
    <w:rsid w:val="00053057"/>
    <w:rsid w:val="00053086"/>
    <w:rsid w:val="0005310D"/>
    <w:rsid w:val="000531B7"/>
    <w:rsid w:val="000531E9"/>
    <w:rsid w:val="0005324C"/>
    <w:rsid w:val="00053298"/>
    <w:rsid w:val="000532A0"/>
    <w:rsid w:val="00053307"/>
    <w:rsid w:val="0005353E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B86"/>
    <w:rsid w:val="00081B9C"/>
    <w:rsid w:val="00081BBF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408"/>
    <w:rsid w:val="000D348E"/>
    <w:rsid w:val="000D3529"/>
    <w:rsid w:val="000D3575"/>
    <w:rsid w:val="000D359E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8B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D6F"/>
    <w:rsid w:val="00162E6D"/>
    <w:rsid w:val="00162EEC"/>
    <w:rsid w:val="00162EFA"/>
    <w:rsid w:val="00163019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A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2324"/>
    <w:rsid w:val="001E233A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2E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150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0F1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4A8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6C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87E1D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3C"/>
    <w:rsid w:val="002A4845"/>
    <w:rsid w:val="002A487A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23"/>
    <w:rsid w:val="002A6754"/>
    <w:rsid w:val="002A67F3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AD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8A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9CA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AE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A0"/>
    <w:rsid w:val="003635C7"/>
    <w:rsid w:val="003635DC"/>
    <w:rsid w:val="003636E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3D6"/>
    <w:rsid w:val="003C7407"/>
    <w:rsid w:val="003C749C"/>
    <w:rsid w:val="003C74E6"/>
    <w:rsid w:val="003C7501"/>
    <w:rsid w:val="003C75BB"/>
    <w:rsid w:val="003C75CF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B0E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5F8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29C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E7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4B1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8D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31"/>
    <w:rsid w:val="004E0CDD"/>
    <w:rsid w:val="004E0D89"/>
    <w:rsid w:val="004E0F16"/>
    <w:rsid w:val="004E1025"/>
    <w:rsid w:val="004E10B3"/>
    <w:rsid w:val="004E1238"/>
    <w:rsid w:val="004E12D9"/>
    <w:rsid w:val="004E1452"/>
    <w:rsid w:val="004E14A3"/>
    <w:rsid w:val="004E1506"/>
    <w:rsid w:val="004E1560"/>
    <w:rsid w:val="004E158A"/>
    <w:rsid w:val="004E16A8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569"/>
    <w:rsid w:val="005225E0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2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6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F"/>
    <w:rsid w:val="00607E3C"/>
    <w:rsid w:val="00607E7A"/>
    <w:rsid w:val="00607FB8"/>
    <w:rsid w:val="00610245"/>
    <w:rsid w:val="006104BB"/>
    <w:rsid w:val="006105B1"/>
    <w:rsid w:val="006105B3"/>
    <w:rsid w:val="00610684"/>
    <w:rsid w:val="006107C0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23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B3B"/>
    <w:rsid w:val="006B1C47"/>
    <w:rsid w:val="006B1CD3"/>
    <w:rsid w:val="006B1D25"/>
    <w:rsid w:val="006B1E78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E0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8D3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97B"/>
    <w:rsid w:val="006F1ACF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17"/>
    <w:rsid w:val="006F4B2D"/>
    <w:rsid w:val="006F4BCF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55A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B2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93E"/>
    <w:rsid w:val="0074699D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9C"/>
    <w:rsid w:val="0076314A"/>
    <w:rsid w:val="007631E3"/>
    <w:rsid w:val="007631FC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43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C"/>
    <w:rsid w:val="007912FD"/>
    <w:rsid w:val="00791305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FD4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8D1"/>
    <w:rsid w:val="007B1947"/>
    <w:rsid w:val="007B1A21"/>
    <w:rsid w:val="007B1A6E"/>
    <w:rsid w:val="007B1D63"/>
    <w:rsid w:val="007B1E51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43F"/>
    <w:rsid w:val="007E5537"/>
    <w:rsid w:val="007E5697"/>
    <w:rsid w:val="007E582D"/>
    <w:rsid w:val="007E5878"/>
    <w:rsid w:val="007E58D0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9A"/>
    <w:rsid w:val="00802BCF"/>
    <w:rsid w:val="00802C1B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1EC"/>
    <w:rsid w:val="00804420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C3"/>
    <w:rsid w:val="008469D1"/>
    <w:rsid w:val="008469D7"/>
    <w:rsid w:val="00846AAE"/>
    <w:rsid w:val="00846B29"/>
    <w:rsid w:val="00846CA0"/>
    <w:rsid w:val="00846CA6"/>
    <w:rsid w:val="00846CFC"/>
    <w:rsid w:val="00846D08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869"/>
    <w:rsid w:val="00857976"/>
    <w:rsid w:val="008579BD"/>
    <w:rsid w:val="00857A01"/>
    <w:rsid w:val="00857A58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426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14C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6FC0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0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3CE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29F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5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879"/>
    <w:rsid w:val="00936939"/>
    <w:rsid w:val="00936B6A"/>
    <w:rsid w:val="00936BEB"/>
    <w:rsid w:val="00936C0D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9EB"/>
    <w:rsid w:val="00961AD8"/>
    <w:rsid w:val="00961C1B"/>
    <w:rsid w:val="00961E4C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B1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5FA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DA0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0C"/>
    <w:rsid w:val="009C3688"/>
    <w:rsid w:val="009C37D5"/>
    <w:rsid w:val="009C3814"/>
    <w:rsid w:val="009C38EC"/>
    <w:rsid w:val="009C39DE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6C1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2B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78A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5B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5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8D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272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BE9"/>
    <w:rsid w:val="00B02CD4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2E"/>
    <w:rsid w:val="00B14556"/>
    <w:rsid w:val="00B1465D"/>
    <w:rsid w:val="00B147EC"/>
    <w:rsid w:val="00B1491B"/>
    <w:rsid w:val="00B1494D"/>
    <w:rsid w:val="00B14A4F"/>
    <w:rsid w:val="00B14D54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5CC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4DA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FF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38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B30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66"/>
    <w:rsid w:val="00C063E2"/>
    <w:rsid w:val="00C063E9"/>
    <w:rsid w:val="00C0653E"/>
    <w:rsid w:val="00C065AB"/>
    <w:rsid w:val="00C065C2"/>
    <w:rsid w:val="00C065C3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FF9"/>
    <w:rsid w:val="00C100B6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745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42"/>
    <w:rsid w:val="00C75886"/>
    <w:rsid w:val="00C75898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61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212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308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5F4"/>
    <w:rsid w:val="00CC279B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E5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86"/>
    <w:rsid w:val="00CE0249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56C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D61"/>
    <w:rsid w:val="00DB4DAB"/>
    <w:rsid w:val="00DB4DE8"/>
    <w:rsid w:val="00DB4F1F"/>
    <w:rsid w:val="00DB502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CC2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490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53B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93D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6FF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44"/>
    <w:rsid w:val="00E84BD9"/>
    <w:rsid w:val="00E84D51"/>
    <w:rsid w:val="00E84DAF"/>
    <w:rsid w:val="00E84DE4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4C2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477"/>
    <w:rsid w:val="00EB24AE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0BA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2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4F8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0F6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CAC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932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9F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CFA"/>
    <w:rsid w:val="00FD2D28"/>
    <w:rsid w:val="00FD2D2B"/>
    <w:rsid w:val="00FD2D5E"/>
    <w:rsid w:val="00FD2E78"/>
    <w:rsid w:val="00FD2E7A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n-juriscol.gov.co/viewDocument.asp?ruta=Leyes/16801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052AE-C0A6-48E5-9C9F-FCBA335C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2963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3</cp:revision>
  <cp:lastPrinted>2015-11-17T13:48:00Z</cp:lastPrinted>
  <dcterms:created xsi:type="dcterms:W3CDTF">2020-04-25T21:59:00Z</dcterms:created>
  <dcterms:modified xsi:type="dcterms:W3CDTF">2020-04-25T21:59:00Z</dcterms:modified>
</cp:coreProperties>
</file>