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3C604" w14:textId="686ED65B" w:rsidR="006D0C18" w:rsidRPr="006D0C18" w:rsidRDefault="006D0C18" w:rsidP="006D0C18">
      <w:pPr>
        <w:keepNext/>
        <w:framePr w:dropCap="drop" w:lines="3" w:wrap="around" w:vAnchor="text" w:hAnchor="text"/>
        <w:spacing w:after="0" w:line="926" w:lineRule="exact"/>
        <w:textAlignment w:val="baseline"/>
        <w:rPr>
          <w:position w:val="-8"/>
          <w:sz w:val="122"/>
        </w:rPr>
      </w:pPr>
      <w:r w:rsidRPr="006D0C18">
        <w:rPr>
          <w:position w:val="-8"/>
          <w:sz w:val="122"/>
        </w:rPr>
        <w:t>H</w:t>
      </w:r>
    </w:p>
    <w:p w14:paraId="100E66CB" w14:textId="62EBB115" w:rsidR="006D0C18" w:rsidRPr="006D0C18" w:rsidRDefault="006D0C18" w:rsidP="006D0C18">
      <w:r w:rsidRPr="006D0C18">
        <w:t>ay quienes piensan que el importe neto de los activos y pasivos de una entidad (patrimonio contable) refleja el valor de un negocio, esto es que a partir de las valoraciones que se asignan a los activos y pasivos, por su costo histórico o valores corrientes, se puede determinar su valor. Para no incurrir en este error, es necesario revisar el concepto de reconocimiento de activos, pasivos, ingresos y gastos, el cual se fundamenta en dos pilares fundamentales: a)</w:t>
      </w:r>
      <w:r>
        <w:t xml:space="preserve"> </w:t>
      </w:r>
      <w:r w:rsidRPr="006D0C18">
        <w:t>las características cualitativas de pertinencia y representación fiel, fundamentales para suministrar información útil, y b)</w:t>
      </w:r>
      <w:r>
        <w:t xml:space="preserve"> </w:t>
      </w:r>
      <w:r w:rsidRPr="006D0C18">
        <w:t>las restricciones de costo beneficio. Al aplicar estos criterios muchas partidas que cumplen la definición de los elementos no son reconocidas en los estados financieros. El tema es referido en el marco conceptual de las NIIF Plenas en diferentes apartados, por ejemplo:</w:t>
      </w:r>
      <w:r>
        <w:t xml:space="preserve"> ―</w:t>
      </w:r>
      <w:r w:rsidRPr="006D0C18">
        <w:rPr>
          <w:i/>
        </w:rPr>
        <w:t xml:space="preserve">1.7. Los informes financieros con propósito general </w:t>
      </w:r>
      <w:r w:rsidRPr="006D0C18">
        <w:rPr>
          <w:b/>
          <w:i/>
          <w:u w:val="single"/>
        </w:rPr>
        <w:t>no están diseñados para mostrar el valor de la entidad que informa</w:t>
      </w:r>
      <w:r w:rsidRPr="006D0C18">
        <w:rPr>
          <w:i/>
        </w:rPr>
        <w:t>; pero proporcionan información para ayudar a los inversores, prestamistas y otros acreedores existentes o potenciales a estimar el valor de la entidad que informa. (Subrayado por fuera del texto).</w:t>
      </w:r>
      <w:r>
        <w:rPr>
          <w:i/>
        </w:rPr>
        <w:t xml:space="preserve"> ―</w:t>
      </w:r>
      <w:r w:rsidRPr="006D0C18">
        <w:rPr>
          <w:i/>
        </w:rPr>
        <w:t xml:space="preserve">5.6 Sólo elementos que cumplen la definición de un activo, un pasivo o patrimonio se reconocen en el estado de situación financiera. De forma análoga, solo los elementos que cumplen la definición de ingresos o gastos se reconocen en el estado (o estados) del rendimiento financiero. </w:t>
      </w:r>
      <w:r w:rsidRPr="006D0C18">
        <w:rPr>
          <w:b/>
          <w:i/>
          <w:u w:val="single"/>
        </w:rPr>
        <w:t xml:space="preserve">Sin embargo, no todas las partidas que cumplen la definición de alguno de los elementos se reconocen. </w:t>
      </w:r>
      <w:r w:rsidRPr="006D0C18">
        <w:rPr>
          <w:u w:val="single"/>
        </w:rPr>
        <w:t>(Subrayado por fuera del texto).</w:t>
      </w:r>
      <w:r>
        <w:rPr>
          <w:u w:val="single"/>
        </w:rPr>
        <w:t xml:space="preserve"> ―</w:t>
      </w:r>
      <w:r w:rsidRPr="006D0C18">
        <w:rPr>
          <w:i/>
        </w:rPr>
        <w:t xml:space="preserve">6.2 Es probable que la consideración de las </w:t>
      </w:r>
      <w:r w:rsidRPr="006D0C18">
        <w:rPr>
          <w:i/>
        </w:rPr>
        <w:t>características cualitativas de la información financiera útil, unida a la restricción del costo, den lugar a la selección de bases de medición diferentes para activos, pasivos, ingresos y gastos.</w:t>
      </w:r>
      <w:r>
        <w:rPr>
          <w:i/>
        </w:rPr>
        <w:t xml:space="preserve"> </w:t>
      </w:r>
      <w:r w:rsidRPr="006D0C18">
        <w:t>Para comprender este asunto, es necesario que revisemos el objetivo de los EFPG el cual se describe en las normas de presentación de los marcos de información financiera, esto es el de suministrar información sobre la situación financiera, el rendimiento y flujos de efectivo, que sean útiles para tomar decisiones económicas, y para evaluar la</w:t>
      </w:r>
      <w:r>
        <w:t xml:space="preserve"> </w:t>
      </w:r>
      <w:r w:rsidRPr="006D0C18">
        <w:t>forma en que han sido administrados los recursos por la</w:t>
      </w:r>
      <w:r>
        <w:t xml:space="preserve"> </w:t>
      </w:r>
      <w:r w:rsidRPr="006D0C18">
        <w:t>gerencia de una entidad. Ello significa que los EFPG junto con otra información al alcance de los usuarios, ayudan a ellos a tomar decisiones, lo cual se logra con estados financieros que deben tener valor predictivo y valor confirmativo.</w:t>
      </w:r>
      <w:r>
        <w:t xml:space="preserve"> </w:t>
      </w:r>
      <w:r w:rsidRPr="006D0C18">
        <w:t xml:space="preserve">Convendría que los contadores tuviéramos un mayor conocimiento sobre las diferentes formas de calcular el valor de un negocio, y que dejáramos atrás la idea de que el valor contable, o el valor intrínseco es una medida de su valor, existen diversas formas de estimar el valor de un negocio, y la contabilidad es el instrumento capaz de suministrar la información para ello. En el documento </w:t>
      </w:r>
      <w:hyperlink r:id="rId8" w:history="1">
        <w:r w:rsidRPr="006D0C18">
          <w:rPr>
            <w:rStyle w:val="Hipervnculo"/>
            <w:i/>
          </w:rPr>
          <w:t>NIIF13 Mediciones de valor de instrumentos de patrimonio no cotizados</w:t>
        </w:r>
      </w:hyperlink>
      <w:r w:rsidRPr="006D0C18">
        <w:rPr>
          <w:i/>
        </w:rPr>
        <w:t xml:space="preserve">, </w:t>
      </w:r>
      <w:r w:rsidRPr="006D0C18">
        <w:t>se describen los enfoques y técnicas basadas en el enfoque de mercado, o en el enfoque de ingresos, o una combinación de ambos</w:t>
      </w:r>
      <w:r>
        <w:t xml:space="preserve">, </w:t>
      </w:r>
      <w:r w:rsidRPr="006D0C18">
        <w:t>mediante el cual todos los activos y pasivos, reconocidos o no reconocidos son medidos por su valor razonable.</w:t>
      </w:r>
    </w:p>
    <w:p w14:paraId="368398E0" w14:textId="2CDDA3BD" w:rsidR="00A91E14" w:rsidRPr="006D0C18" w:rsidRDefault="006D0C18" w:rsidP="006D0C18">
      <w:pPr>
        <w:jc w:val="right"/>
        <w:rPr>
          <w:i/>
        </w:rPr>
      </w:pPr>
      <w:r w:rsidRPr="006D0C18">
        <w:rPr>
          <w:i/>
        </w:rPr>
        <w:t xml:space="preserve">Wilmar Franco </w:t>
      </w:r>
      <w:proofErr w:type="spellStart"/>
      <w:r w:rsidRPr="006D0C18">
        <w:rPr>
          <w:i/>
        </w:rPr>
        <w:t>Franco</w:t>
      </w:r>
      <w:proofErr w:type="spellEnd"/>
    </w:p>
    <w:sectPr w:rsidR="00A91E14" w:rsidRPr="006D0C1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644E1" w14:textId="77777777" w:rsidR="00EC0B06" w:rsidRDefault="00EC0B06" w:rsidP="00EE7812">
      <w:pPr>
        <w:spacing w:after="0" w:line="240" w:lineRule="auto"/>
      </w:pPr>
      <w:r>
        <w:separator/>
      </w:r>
    </w:p>
  </w:endnote>
  <w:endnote w:type="continuationSeparator" w:id="0">
    <w:p w14:paraId="4FC19FA0" w14:textId="77777777" w:rsidR="00EC0B06" w:rsidRDefault="00EC0B0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B50ED" w14:textId="77777777" w:rsidR="00EC0B06" w:rsidRDefault="00EC0B06" w:rsidP="00EE7812">
      <w:pPr>
        <w:spacing w:after="0" w:line="240" w:lineRule="auto"/>
      </w:pPr>
      <w:r>
        <w:separator/>
      </w:r>
    </w:p>
  </w:footnote>
  <w:footnote w:type="continuationSeparator" w:id="0">
    <w:p w14:paraId="59ECDE2E" w14:textId="77777777" w:rsidR="00EC0B06" w:rsidRDefault="00EC0B0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421B305" w:rsidR="00F23D44" w:rsidRDefault="00662F02" w:rsidP="00613BC8">
    <w:pPr>
      <w:pStyle w:val="Encabezado"/>
      <w:tabs>
        <w:tab w:val="left" w:pos="2580"/>
        <w:tab w:val="left" w:pos="2985"/>
      </w:tabs>
      <w:spacing w:line="276" w:lineRule="auto"/>
      <w:jc w:val="right"/>
    </w:pPr>
    <w:r>
      <w:t xml:space="preserve">Número </w:t>
    </w:r>
    <w:r w:rsidR="00D31706">
      <w:t>50</w:t>
    </w:r>
    <w:r w:rsidR="006D0C18">
      <w:t>10</w:t>
    </w:r>
    <w:r w:rsidR="001245EC">
      <w:t xml:space="preserve">, </w:t>
    </w:r>
    <w:r w:rsidR="00B806BD">
      <w:t>4</w:t>
    </w:r>
    <w:r w:rsidR="00D54F20">
      <w:t xml:space="preserve"> de </w:t>
    </w:r>
    <w:r w:rsidR="00B806BD">
      <w:t>mayo</w:t>
    </w:r>
    <w:r w:rsidR="00D54F20">
      <w:t xml:space="preserve"> de 2020</w:t>
    </w:r>
  </w:p>
  <w:p w14:paraId="29566F03" w14:textId="77777777" w:rsidR="00F23D44" w:rsidRDefault="00EC0B0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60"/>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8B"/>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06"/>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mantilla1.net/ejemplos-ilustrativos-acompanan-la-niif-13-medicion-del-valor-razonab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9C39D-46D0-4E17-8376-BC4FC72B6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495</Words>
  <Characters>2822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2020-05-02T17:52:00Z</dcterms:created>
  <dcterms:modified xsi:type="dcterms:W3CDTF">2020-05-02T17:52:00Z</dcterms:modified>
</cp:coreProperties>
</file>